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金华市区参保城乡居民和企业退休</w:t>
      </w:r>
    </w:p>
    <w:p>
      <w:pPr>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人员健康体检实施方案</w:t>
      </w:r>
    </w:p>
    <w:p>
      <w:pPr>
        <w:snapToGrid w:val="0"/>
        <w:spacing w:line="520" w:lineRule="exact"/>
        <w:jc w:val="center"/>
        <w:rPr>
          <w:rFonts w:eastAsia="仿宋_GB2312"/>
          <w:color w:val="000000"/>
          <w:sz w:val="32"/>
          <w:szCs w:val="32"/>
        </w:rPr>
      </w:pPr>
      <w:bookmarkStart w:id="0" w:name="_GoBack"/>
      <w:bookmarkEnd w:id="0"/>
    </w:p>
    <w:p>
      <w:pPr>
        <w:spacing w:line="520" w:lineRule="exact"/>
        <w:ind w:firstLine="640" w:firstLineChars="200"/>
        <w:rPr>
          <w:rFonts w:eastAsia="仿宋_GB2312"/>
          <w:color w:val="000000"/>
          <w:sz w:val="32"/>
          <w:szCs w:val="32"/>
        </w:rPr>
      </w:pPr>
      <w:r>
        <w:rPr>
          <w:rFonts w:eastAsia="仿宋_GB2312"/>
          <w:color w:val="000000"/>
          <w:sz w:val="32"/>
          <w:szCs w:val="32"/>
        </w:rPr>
        <w:t>为做好金华市区参保城乡居民、中小学生和企业退休人员的健康体检工作，加强全人群健康管理，提升居民健康水平，制定本方案。</w:t>
      </w:r>
    </w:p>
    <w:p>
      <w:pPr>
        <w:spacing w:line="520" w:lineRule="exact"/>
        <w:ind w:firstLine="640" w:firstLineChars="200"/>
        <w:rPr>
          <w:rFonts w:eastAsia="黑体"/>
          <w:color w:val="000000"/>
          <w:sz w:val="32"/>
          <w:szCs w:val="32"/>
        </w:rPr>
      </w:pPr>
      <w:r>
        <w:rPr>
          <w:rFonts w:eastAsia="黑体"/>
          <w:color w:val="000000"/>
          <w:sz w:val="32"/>
          <w:szCs w:val="32"/>
        </w:rPr>
        <w:t>一、工作目标</w:t>
      </w:r>
    </w:p>
    <w:p>
      <w:pPr>
        <w:spacing w:line="520" w:lineRule="exact"/>
        <w:ind w:firstLine="640" w:firstLineChars="200"/>
        <w:rPr>
          <w:rFonts w:eastAsia="仿宋_GB2312"/>
          <w:color w:val="000000"/>
          <w:sz w:val="32"/>
          <w:szCs w:val="32"/>
        </w:rPr>
      </w:pPr>
      <w:r>
        <w:rPr>
          <w:rFonts w:hint="eastAsia" w:eastAsia="仿宋_GB2312"/>
          <w:color w:val="000000"/>
          <w:sz w:val="32"/>
          <w:szCs w:val="32"/>
        </w:rPr>
        <w:t>规范做好参加金华市区基本医疗保险的城乡居民（0-6岁儿童、中小学生、60岁以上城乡居民、其他城乡居民）和企业退休人员（指市区参加基本医疗保险的企业退休人员以及无用人单位主体的退休人员，不含机关事业单位离退休、供养及领取生活费人员）的健康体检工作。</w:t>
      </w:r>
      <w:r>
        <w:rPr>
          <w:rFonts w:eastAsia="仿宋_GB2312"/>
          <w:color w:val="000000"/>
          <w:sz w:val="32"/>
          <w:szCs w:val="32"/>
        </w:rPr>
        <w:t>0-6岁儿童、65岁以上老年居民的健康体检率达到年度基本公共卫生项目绩效评价要求，中小学生体检率达到90%以上。</w:t>
      </w:r>
    </w:p>
    <w:p>
      <w:pPr>
        <w:spacing w:line="520" w:lineRule="exact"/>
        <w:ind w:firstLine="640" w:firstLineChars="200"/>
        <w:rPr>
          <w:rFonts w:eastAsia="黑体"/>
          <w:color w:val="000000"/>
          <w:sz w:val="32"/>
          <w:szCs w:val="32"/>
        </w:rPr>
      </w:pPr>
      <w:r>
        <w:rPr>
          <w:rFonts w:eastAsia="黑体"/>
          <w:color w:val="000000"/>
          <w:sz w:val="32"/>
          <w:szCs w:val="32"/>
        </w:rPr>
        <w:t>二、体检项目及经费</w:t>
      </w:r>
    </w:p>
    <w:tbl>
      <w:tblPr>
        <w:tblStyle w:val="6"/>
        <w:tblW w:w="9498"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gridCol w:w="652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93" w:type="dxa"/>
            <w:vAlign w:val="center"/>
          </w:tcPr>
          <w:p>
            <w:pPr>
              <w:snapToGrid w:val="0"/>
              <w:jc w:val="center"/>
              <w:rPr>
                <w:rFonts w:eastAsia="黑体"/>
                <w:color w:val="000000"/>
                <w:kern w:val="0"/>
                <w:sz w:val="28"/>
                <w:szCs w:val="28"/>
              </w:rPr>
            </w:pPr>
            <w:r>
              <w:rPr>
                <w:rFonts w:eastAsia="黑体"/>
                <w:color w:val="000000"/>
                <w:kern w:val="0"/>
                <w:sz w:val="28"/>
                <w:szCs w:val="28"/>
              </w:rPr>
              <w:t>体检对象</w:t>
            </w:r>
          </w:p>
        </w:tc>
        <w:tc>
          <w:tcPr>
            <w:tcW w:w="850" w:type="dxa"/>
            <w:vAlign w:val="center"/>
          </w:tcPr>
          <w:p>
            <w:pPr>
              <w:snapToGrid w:val="0"/>
              <w:jc w:val="center"/>
              <w:rPr>
                <w:rFonts w:eastAsia="黑体"/>
                <w:color w:val="000000"/>
                <w:kern w:val="0"/>
                <w:sz w:val="28"/>
                <w:szCs w:val="28"/>
              </w:rPr>
            </w:pPr>
            <w:r>
              <w:rPr>
                <w:rFonts w:eastAsia="黑体"/>
                <w:color w:val="000000"/>
                <w:kern w:val="0"/>
                <w:sz w:val="28"/>
                <w:szCs w:val="28"/>
              </w:rPr>
              <w:t>体检频率</w:t>
            </w:r>
          </w:p>
        </w:tc>
        <w:tc>
          <w:tcPr>
            <w:tcW w:w="6521" w:type="dxa"/>
            <w:vAlign w:val="center"/>
          </w:tcPr>
          <w:p>
            <w:pPr>
              <w:snapToGrid w:val="0"/>
              <w:jc w:val="center"/>
              <w:rPr>
                <w:rFonts w:eastAsia="黑体"/>
                <w:color w:val="000000"/>
                <w:kern w:val="0"/>
                <w:sz w:val="28"/>
                <w:szCs w:val="28"/>
              </w:rPr>
            </w:pPr>
            <w:r>
              <w:rPr>
                <w:rFonts w:eastAsia="黑体"/>
                <w:color w:val="000000"/>
                <w:kern w:val="0"/>
                <w:sz w:val="28"/>
                <w:szCs w:val="28"/>
              </w:rPr>
              <w:t>体检项目</w:t>
            </w:r>
          </w:p>
        </w:tc>
        <w:tc>
          <w:tcPr>
            <w:tcW w:w="1134" w:type="dxa"/>
            <w:vAlign w:val="center"/>
          </w:tcPr>
          <w:p>
            <w:pPr>
              <w:snapToGrid w:val="0"/>
              <w:jc w:val="center"/>
              <w:rPr>
                <w:rFonts w:eastAsia="黑体"/>
                <w:color w:val="000000"/>
                <w:kern w:val="0"/>
                <w:sz w:val="28"/>
                <w:szCs w:val="28"/>
              </w:rPr>
            </w:pPr>
            <w:r>
              <w:rPr>
                <w:rFonts w:eastAsia="黑体"/>
                <w:color w:val="000000"/>
                <w:kern w:val="0"/>
                <w:sz w:val="28"/>
                <w:szCs w:val="28"/>
              </w:rPr>
              <w:t>经费（</w:t>
            </w:r>
            <w:r>
              <w:rPr>
                <w:rFonts w:eastAsia="黑体"/>
                <w:color w:val="000000"/>
                <w:sz w:val="28"/>
                <w:szCs w:val="28"/>
              </w:rPr>
              <w:t>元</w:t>
            </w:r>
            <w:r>
              <w:rPr>
                <w:rFonts w:eastAsia="黑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993" w:type="dxa"/>
            <w:vAlign w:val="center"/>
          </w:tcPr>
          <w:p>
            <w:pPr>
              <w:snapToGrid w:val="0"/>
              <w:jc w:val="center"/>
              <w:rPr>
                <w:rFonts w:eastAsia="仿宋_GB2312"/>
                <w:color w:val="000000"/>
                <w:kern w:val="0"/>
                <w:sz w:val="28"/>
                <w:szCs w:val="28"/>
              </w:rPr>
            </w:pPr>
            <w:r>
              <w:rPr>
                <w:rFonts w:eastAsia="仿宋_GB2312"/>
                <w:color w:val="000000"/>
                <w:kern w:val="0"/>
                <w:sz w:val="28"/>
                <w:szCs w:val="28"/>
              </w:rPr>
              <w:t>0-6岁儿童</w:t>
            </w:r>
          </w:p>
        </w:tc>
        <w:tc>
          <w:tcPr>
            <w:tcW w:w="850" w:type="dxa"/>
            <w:vAlign w:val="center"/>
          </w:tcPr>
          <w:p>
            <w:pPr>
              <w:snapToGrid w:val="0"/>
              <w:jc w:val="center"/>
              <w:rPr>
                <w:rFonts w:eastAsia="仿宋_GB2312"/>
                <w:color w:val="000000"/>
                <w:kern w:val="0"/>
                <w:sz w:val="28"/>
                <w:szCs w:val="28"/>
              </w:rPr>
            </w:pPr>
            <w:r>
              <w:rPr>
                <w:rFonts w:eastAsia="仿宋_GB2312"/>
                <w:color w:val="000000"/>
                <w:sz w:val="28"/>
                <w:szCs w:val="28"/>
              </w:rPr>
              <w:t>每年一次</w:t>
            </w:r>
          </w:p>
        </w:tc>
        <w:tc>
          <w:tcPr>
            <w:tcW w:w="6521" w:type="dxa"/>
            <w:vAlign w:val="center"/>
          </w:tcPr>
          <w:p>
            <w:pPr>
              <w:snapToGrid w:val="0"/>
              <w:spacing w:line="280" w:lineRule="exact"/>
              <w:rPr>
                <w:rFonts w:eastAsia="仿宋_GB2312"/>
                <w:color w:val="000000"/>
                <w:kern w:val="0"/>
                <w:sz w:val="28"/>
                <w:szCs w:val="28"/>
              </w:rPr>
            </w:pPr>
            <w:r>
              <w:rPr>
                <w:rFonts w:eastAsia="仿宋_GB2312"/>
                <w:color w:val="000000"/>
                <w:sz w:val="28"/>
                <w:szCs w:val="28"/>
              </w:rPr>
              <w:t>新版《0-6岁儿童健康管理服务规范》规定的项目。</w:t>
            </w:r>
          </w:p>
        </w:tc>
        <w:tc>
          <w:tcPr>
            <w:tcW w:w="1134" w:type="dxa"/>
            <w:vAlign w:val="center"/>
          </w:tcPr>
          <w:p>
            <w:pPr>
              <w:snapToGrid w:val="0"/>
              <w:jc w:val="center"/>
              <w:rPr>
                <w:rFonts w:eastAsia="仿宋_GB2312"/>
                <w:color w:val="000000"/>
                <w:kern w:val="0"/>
                <w:sz w:val="28"/>
                <w:szCs w:val="28"/>
              </w:rPr>
            </w:pPr>
            <w:r>
              <w:rPr>
                <w:rFonts w:eastAsia="仿宋_GB2312"/>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napToGrid w:val="0"/>
              <w:jc w:val="center"/>
              <w:rPr>
                <w:rFonts w:eastAsia="仿宋_GB2312"/>
                <w:color w:val="000000"/>
                <w:kern w:val="0"/>
                <w:sz w:val="28"/>
                <w:szCs w:val="28"/>
              </w:rPr>
            </w:pPr>
            <w:r>
              <w:rPr>
                <w:rFonts w:eastAsia="仿宋_GB2312"/>
                <w:color w:val="000000"/>
                <w:kern w:val="0"/>
                <w:sz w:val="28"/>
                <w:szCs w:val="28"/>
              </w:rPr>
              <w:t>中小学生</w:t>
            </w:r>
          </w:p>
        </w:tc>
        <w:tc>
          <w:tcPr>
            <w:tcW w:w="850" w:type="dxa"/>
            <w:vAlign w:val="center"/>
          </w:tcPr>
          <w:p>
            <w:pPr>
              <w:snapToGrid w:val="0"/>
              <w:jc w:val="center"/>
              <w:rPr>
                <w:rFonts w:eastAsia="仿宋_GB2312"/>
                <w:sz w:val="28"/>
                <w:szCs w:val="28"/>
              </w:rPr>
            </w:pPr>
            <w:r>
              <w:rPr>
                <w:rFonts w:eastAsia="仿宋_GB2312"/>
                <w:sz w:val="28"/>
                <w:szCs w:val="28"/>
              </w:rPr>
              <w:t>每年一次</w:t>
            </w:r>
          </w:p>
        </w:tc>
        <w:tc>
          <w:tcPr>
            <w:tcW w:w="6521" w:type="dxa"/>
            <w:vAlign w:val="center"/>
          </w:tcPr>
          <w:p>
            <w:pPr>
              <w:snapToGrid w:val="0"/>
              <w:spacing w:line="280" w:lineRule="exact"/>
              <w:rPr>
                <w:rFonts w:eastAsia="仿宋_GB2312"/>
                <w:color w:val="000000"/>
                <w:kern w:val="0"/>
                <w:sz w:val="28"/>
                <w:szCs w:val="28"/>
              </w:rPr>
            </w:pPr>
            <w:r>
              <w:rPr>
                <w:rFonts w:eastAsia="仿宋_GB2312"/>
                <w:color w:val="000000"/>
                <w:sz w:val="28"/>
                <w:szCs w:val="28"/>
              </w:rPr>
              <w:t>按《关于印发浙江省中小学生健康体检管理实施办法的通知》（浙卫发〔2010〕83号）规定执行。</w:t>
            </w:r>
          </w:p>
        </w:tc>
        <w:tc>
          <w:tcPr>
            <w:tcW w:w="1134" w:type="dxa"/>
            <w:vAlign w:val="center"/>
          </w:tcPr>
          <w:p>
            <w:pPr>
              <w:snapToGrid w:val="0"/>
              <w:jc w:val="center"/>
              <w:rPr>
                <w:rFonts w:eastAsia="仿宋_GB2312"/>
                <w:color w:val="000000"/>
                <w:kern w:val="0"/>
                <w:sz w:val="28"/>
                <w:szCs w:val="28"/>
              </w:rPr>
            </w:pPr>
            <w:r>
              <w:rPr>
                <w:rFonts w:eastAsia="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7" w:hRule="atLeast"/>
          <w:jc w:val="center"/>
        </w:trPr>
        <w:tc>
          <w:tcPr>
            <w:tcW w:w="993" w:type="dxa"/>
            <w:vAlign w:val="center"/>
          </w:tcPr>
          <w:p>
            <w:pPr>
              <w:snapToGrid w:val="0"/>
              <w:jc w:val="center"/>
              <w:rPr>
                <w:rFonts w:eastAsia="仿宋_GB2312"/>
                <w:color w:val="000000"/>
                <w:kern w:val="0"/>
                <w:sz w:val="28"/>
                <w:szCs w:val="28"/>
              </w:rPr>
            </w:pPr>
            <w:r>
              <w:rPr>
                <w:rFonts w:eastAsia="仿宋_GB2312"/>
                <w:color w:val="000000"/>
                <w:kern w:val="0"/>
                <w:sz w:val="28"/>
                <w:szCs w:val="28"/>
              </w:rPr>
              <w:t>60岁以上城乡居民</w:t>
            </w:r>
          </w:p>
        </w:tc>
        <w:tc>
          <w:tcPr>
            <w:tcW w:w="850" w:type="dxa"/>
            <w:vAlign w:val="center"/>
          </w:tcPr>
          <w:p>
            <w:pPr>
              <w:snapToGrid w:val="0"/>
              <w:jc w:val="center"/>
              <w:rPr>
                <w:rFonts w:eastAsia="仿宋_GB2312"/>
                <w:sz w:val="28"/>
                <w:szCs w:val="28"/>
              </w:rPr>
            </w:pPr>
            <w:r>
              <w:rPr>
                <w:rFonts w:eastAsia="仿宋_GB2312"/>
                <w:sz w:val="28"/>
                <w:szCs w:val="28"/>
              </w:rPr>
              <w:t>每年一次</w:t>
            </w:r>
          </w:p>
        </w:tc>
        <w:tc>
          <w:tcPr>
            <w:tcW w:w="6521" w:type="dxa"/>
            <w:vAlign w:val="center"/>
          </w:tcPr>
          <w:p>
            <w:pPr>
              <w:snapToGrid w:val="0"/>
              <w:spacing w:line="320" w:lineRule="exact"/>
              <w:rPr>
                <w:rFonts w:eastAsia="仿宋_GB2312"/>
                <w:color w:val="000000"/>
                <w:kern w:val="0"/>
                <w:sz w:val="28"/>
                <w:szCs w:val="28"/>
              </w:rPr>
            </w:pPr>
            <w:r>
              <w:rPr>
                <w:rFonts w:eastAsia="仿宋_GB2312"/>
                <w:color w:val="000000"/>
                <w:kern w:val="0"/>
                <w:sz w:val="28"/>
                <w:szCs w:val="28"/>
              </w:rPr>
              <w:t>（1）常规检查：内科、外科，对口腔、视力、听力和运动功能等进行粗测判断；</w:t>
            </w:r>
          </w:p>
          <w:p>
            <w:pPr>
              <w:snapToGrid w:val="0"/>
              <w:spacing w:line="320" w:lineRule="exact"/>
              <w:rPr>
                <w:rFonts w:eastAsia="仿宋_GB2312"/>
                <w:color w:val="000000"/>
                <w:kern w:val="0"/>
                <w:sz w:val="28"/>
                <w:szCs w:val="28"/>
              </w:rPr>
            </w:pPr>
            <w:r>
              <w:rPr>
                <w:rFonts w:eastAsia="仿宋_GB2312"/>
                <w:color w:val="000000"/>
                <w:kern w:val="0"/>
                <w:sz w:val="28"/>
                <w:szCs w:val="28"/>
              </w:rPr>
              <w:t>（2）检验项目：血常规、尿常规、空腹血糖、血脂4项（总胆固醇、甘油三酯、低密度脂蛋白胆固醇、高密度脂蛋白胆固醇）、肝功能3项（血清谷草转氨酶、血清谷丙转氨酶和总胆红素）、肾功能2项（肌酐、血尿素氮）；</w:t>
            </w:r>
          </w:p>
          <w:p>
            <w:pPr>
              <w:snapToGrid w:val="0"/>
              <w:spacing w:line="320" w:lineRule="exact"/>
              <w:rPr>
                <w:rFonts w:eastAsia="仿宋_GB2312"/>
                <w:color w:val="000000"/>
                <w:kern w:val="0"/>
                <w:sz w:val="28"/>
                <w:szCs w:val="28"/>
              </w:rPr>
            </w:pPr>
            <w:r>
              <w:rPr>
                <w:rFonts w:eastAsia="仿宋_GB2312"/>
                <w:color w:val="000000"/>
                <w:kern w:val="0"/>
                <w:sz w:val="28"/>
                <w:szCs w:val="28"/>
              </w:rPr>
              <w:t>（3）影像检查：心电图、彩超（肝、胆、胰、脾）。</w:t>
            </w:r>
          </w:p>
        </w:tc>
        <w:tc>
          <w:tcPr>
            <w:tcW w:w="1134" w:type="dxa"/>
            <w:vAlign w:val="center"/>
          </w:tcPr>
          <w:p>
            <w:pPr>
              <w:snapToGrid w:val="0"/>
              <w:jc w:val="center"/>
              <w:rPr>
                <w:rFonts w:eastAsia="黑体"/>
                <w:color w:val="FF0000"/>
                <w:kern w:val="0"/>
                <w:sz w:val="28"/>
                <w:szCs w:val="28"/>
              </w:rPr>
            </w:pPr>
            <w:r>
              <w:rPr>
                <w:rFonts w:eastAsia="仿宋_GB2312"/>
                <w:color w:val="000000"/>
                <w:kern w:val="0"/>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993" w:type="dxa"/>
            <w:vAlign w:val="center"/>
          </w:tcPr>
          <w:p>
            <w:pPr>
              <w:snapToGrid w:val="0"/>
              <w:jc w:val="center"/>
              <w:rPr>
                <w:rFonts w:eastAsia="仿宋_GB2312"/>
                <w:color w:val="000000"/>
                <w:kern w:val="0"/>
                <w:sz w:val="28"/>
                <w:szCs w:val="28"/>
              </w:rPr>
            </w:pPr>
            <w:r>
              <w:rPr>
                <w:rFonts w:eastAsia="仿宋_GB2312"/>
                <w:color w:val="000000"/>
                <w:kern w:val="0"/>
                <w:sz w:val="28"/>
                <w:szCs w:val="28"/>
              </w:rPr>
              <w:t>其他参保城乡居民</w:t>
            </w:r>
          </w:p>
        </w:tc>
        <w:tc>
          <w:tcPr>
            <w:tcW w:w="850" w:type="dxa"/>
            <w:vAlign w:val="center"/>
          </w:tcPr>
          <w:p>
            <w:pPr>
              <w:snapToGrid w:val="0"/>
              <w:jc w:val="center"/>
              <w:rPr>
                <w:rFonts w:eastAsia="仿宋_GB2312"/>
                <w:sz w:val="28"/>
                <w:szCs w:val="28"/>
              </w:rPr>
            </w:pPr>
            <w:r>
              <w:rPr>
                <w:rFonts w:eastAsia="仿宋_GB2312"/>
                <w:color w:val="000000"/>
                <w:kern w:val="0"/>
                <w:sz w:val="28"/>
                <w:szCs w:val="28"/>
              </w:rPr>
              <w:t>两年一</w:t>
            </w:r>
            <w:r>
              <w:rPr>
                <w:rFonts w:eastAsia="仿宋_GB2312"/>
                <w:sz w:val="28"/>
                <w:szCs w:val="28"/>
              </w:rPr>
              <w:t>次</w:t>
            </w:r>
          </w:p>
        </w:tc>
        <w:tc>
          <w:tcPr>
            <w:tcW w:w="6521" w:type="dxa"/>
            <w:vAlign w:val="center"/>
          </w:tcPr>
          <w:p>
            <w:pPr>
              <w:snapToGrid w:val="0"/>
              <w:rPr>
                <w:rFonts w:eastAsia="仿宋_GB2312"/>
                <w:color w:val="000000"/>
                <w:kern w:val="0"/>
                <w:sz w:val="28"/>
                <w:szCs w:val="28"/>
              </w:rPr>
            </w:pPr>
            <w:r>
              <w:rPr>
                <w:rFonts w:eastAsia="仿宋_GB2312"/>
                <w:color w:val="000000"/>
                <w:kern w:val="0"/>
                <w:sz w:val="28"/>
                <w:szCs w:val="28"/>
              </w:rPr>
              <w:t>内科、外科、血常规、尿常规、空腹血糖、肝功能（血清谷草转氨酶、血清谷丙转氨酶和总胆红素）、彩超（肝、胆、胰、脾）、心电图。</w:t>
            </w:r>
          </w:p>
        </w:tc>
        <w:tc>
          <w:tcPr>
            <w:tcW w:w="1134" w:type="dxa"/>
            <w:vAlign w:val="center"/>
          </w:tcPr>
          <w:p>
            <w:pPr>
              <w:snapToGrid w:val="0"/>
              <w:jc w:val="center"/>
              <w:rPr>
                <w:rFonts w:eastAsia="仿宋_GB2312"/>
                <w:color w:val="000000"/>
                <w:kern w:val="0"/>
                <w:sz w:val="28"/>
                <w:szCs w:val="28"/>
              </w:rPr>
            </w:pPr>
            <w:r>
              <w:rPr>
                <w:rFonts w:eastAsia="仿宋_GB2312"/>
                <w:color w:val="000000"/>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993" w:type="dxa"/>
            <w:vAlign w:val="center"/>
          </w:tcPr>
          <w:p>
            <w:pPr>
              <w:snapToGrid w:val="0"/>
              <w:jc w:val="center"/>
              <w:rPr>
                <w:rFonts w:eastAsia="仿宋_GB2312"/>
                <w:color w:val="000000"/>
                <w:kern w:val="0"/>
                <w:sz w:val="28"/>
                <w:szCs w:val="28"/>
              </w:rPr>
            </w:pPr>
            <w:r>
              <w:rPr>
                <w:rFonts w:eastAsia="仿宋_GB2312"/>
                <w:color w:val="000000"/>
                <w:kern w:val="0"/>
                <w:sz w:val="28"/>
                <w:szCs w:val="28"/>
              </w:rPr>
              <w:t>企业退休人员</w:t>
            </w:r>
          </w:p>
        </w:tc>
        <w:tc>
          <w:tcPr>
            <w:tcW w:w="850" w:type="dxa"/>
            <w:vAlign w:val="center"/>
          </w:tcPr>
          <w:p>
            <w:pPr>
              <w:snapToGrid w:val="0"/>
              <w:jc w:val="center"/>
              <w:rPr>
                <w:rFonts w:eastAsia="仿宋_GB2312"/>
                <w:color w:val="000000"/>
                <w:kern w:val="0"/>
                <w:sz w:val="28"/>
                <w:szCs w:val="28"/>
              </w:rPr>
            </w:pPr>
            <w:r>
              <w:rPr>
                <w:rFonts w:eastAsia="仿宋_GB2312"/>
                <w:kern w:val="0"/>
                <w:sz w:val="28"/>
                <w:szCs w:val="28"/>
              </w:rPr>
              <w:t>两年</w:t>
            </w:r>
            <w:r>
              <w:rPr>
                <w:rFonts w:eastAsia="仿宋_GB2312"/>
                <w:color w:val="000000"/>
                <w:kern w:val="0"/>
                <w:sz w:val="28"/>
                <w:szCs w:val="28"/>
              </w:rPr>
              <w:t>一次</w:t>
            </w:r>
          </w:p>
        </w:tc>
        <w:tc>
          <w:tcPr>
            <w:tcW w:w="6521" w:type="dxa"/>
            <w:vAlign w:val="center"/>
          </w:tcPr>
          <w:p>
            <w:pPr>
              <w:snapToGrid w:val="0"/>
              <w:rPr>
                <w:rFonts w:eastAsia="仿宋_GB2312"/>
                <w:color w:val="FF0000"/>
                <w:kern w:val="0"/>
                <w:sz w:val="28"/>
                <w:szCs w:val="28"/>
              </w:rPr>
            </w:pPr>
            <w:r>
              <w:rPr>
                <w:rFonts w:eastAsia="仿宋_GB2312"/>
                <w:color w:val="000000"/>
                <w:kern w:val="0"/>
                <w:sz w:val="28"/>
                <w:szCs w:val="28"/>
              </w:rPr>
              <w:t>在60岁以上老年城乡居民体检项目的基础上增加胸部透视或胸片、甲胎蛋白。</w:t>
            </w:r>
          </w:p>
        </w:tc>
        <w:tc>
          <w:tcPr>
            <w:tcW w:w="1134" w:type="dxa"/>
            <w:vAlign w:val="center"/>
          </w:tcPr>
          <w:p>
            <w:pPr>
              <w:snapToGrid w:val="0"/>
              <w:jc w:val="center"/>
              <w:rPr>
                <w:rFonts w:eastAsia="仿宋_GB2312"/>
                <w:color w:val="000000"/>
                <w:kern w:val="0"/>
                <w:sz w:val="28"/>
                <w:szCs w:val="28"/>
              </w:rPr>
            </w:pPr>
            <w:r>
              <w:rPr>
                <w:rFonts w:eastAsia="仿宋_GB2312"/>
                <w:color w:val="000000"/>
                <w:kern w:val="0"/>
                <w:sz w:val="28"/>
                <w:szCs w:val="28"/>
              </w:rPr>
              <w:t>150</w:t>
            </w:r>
          </w:p>
        </w:tc>
      </w:tr>
    </w:tbl>
    <w:p>
      <w:pPr>
        <w:spacing w:line="540" w:lineRule="exact"/>
        <w:ind w:firstLine="640" w:firstLineChars="200"/>
        <w:rPr>
          <w:rFonts w:eastAsia="黑体"/>
          <w:color w:val="000000"/>
          <w:sz w:val="32"/>
          <w:szCs w:val="32"/>
        </w:rPr>
      </w:pPr>
      <w:r>
        <w:rPr>
          <w:rFonts w:eastAsia="黑体"/>
          <w:color w:val="000000"/>
          <w:sz w:val="32"/>
          <w:szCs w:val="32"/>
        </w:rPr>
        <w:t>三、体检机构</w:t>
      </w:r>
    </w:p>
    <w:p>
      <w:pPr>
        <w:spacing w:line="540" w:lineRule="exact"/>
        <w:ind w:firstLine="640" w:firstLineChars="200"/>
        <w:rPr>
          <w:rFonts w:eastAsia="仿宋_GB2312"/>
          <w:color w:val="000000"/>
          <w:sz w:val="32"/>
          <w:szCs w:val="32"/>
        </w:rPr>
      </w:pPr>
      <w:r>
        <w:rPr>
          <w:rFonts w:eastAsia="仿宋_GB2312"/>
          <w:color w:val="000000"/>
          <w:sz w:val="32"/>
          <w:szCs w:val="32"/>
        </w:rPr>
        <w:t>为落实分级诊疗和城市医联体建设等政策，使居民获得综合、连续、便捷的基本医疗和公共卫生服务，体检机构原则上为居民户籍地、居住地或学校所在地的基层医疗卫生机构（乡镇卫生院或社区卫生服务中心）。中小学生由医疗机构组织人员到学校体检。异地安置(含在金华市内户籍地居住) 的企业退休人员，可在现居住地的定点医疗机构体检，凭有效发票并持社会保障·市民卡到市医疗保障中心报销。</w:t>
      </w:r>
    </w:p>
    <w:p>
      <w:pPr>
        <w:spacing w:line="540" w:lineRule="exact"/>
        <w:ind w:firstLine="640" w:firstLineChars="200"/>
        <w:rPr>
          <w:rFonts w:eastAsia="黑体"/>
          <w:color w:val="000000"/>
          <w:sz w:val="32"/>
          <w:szCs w:val="32"/>
        </w:rPr>
      </w:pPr>
      <w:r>
        <w:rPr>
          <w:rFonts w:eastAsia="黑体"/>
          <w:color w:val="000000"/>
          <w:sz w:val="32"/>
          <w:szCs w:val="32"/>
        </w:rPr>
        <w:t>四、经费安排及结算</w:t>
      </w:r>
    </w:p>
    <w:p>
      <w:pPr>
        <w:spacing w:line="540" w:lineRule="exact"/>
        <w:ind w:firstLine="640" w:firstLineChars="200"/>
        <w:rPr>
          <w:rFonts w:eastAsia="仿宋_GB2312"/>
          <w:color w:val="000000"/>
          <w:sz w:val="32"/>
          <w:szCs w:val="32"/>
        </w:rPr>
      </w:pPr>
      <w:r>
        <w:rPr>
          <w:rFonts w:eastAsia="仿宋_GB2312"/>
          <w:color w:val="000000"/>
          <w:sz w:val="32"/>
          <w:szCs w:val="32"/>
        </w:rPr>
        <w:t xml:space="preserve">体检经费由财政据实安排，专款专用。由市医疗保障中心与体检医疗机构每年结算一次。 </w:t>
      </w:r>
    </w:p>
    <w:p>
      <w:pPr>
        <w:spacing w:line="540" w:lineRule="exact"/>
        <w:ind w:firstLine="640" w:firstLineChars="200"/>
        <w:rPr>
          <w:rFonts w:eastAsia="黑体"/>
          <w:color w:val="000000"/>
          <w:sz w:val="32"/>
          <w:szCs w:val="32"/>
        </w:rPr>
      </w:pPr>
      <w:r>
        <w:rPr>
          <w:rFonts w:eastAsia="黑体"/>
          <w:color w:val="000000"/>
          <w:sz w:val="32"/>
          <w:szCs w:val="32"/>
        </w:rPr>
        <w:t>五、相关要求</w:t>
      </w:r>
    </w:p>
    <w:p>
      <w:pPr>
        <w:spacing w:line="540" w:lineRule="exact"/>
        <w:ind w:firstLine="640" w:firstLineChars="200"/>
        <w:rPr>
          <w:rFonts w:eastAsia="仿宋_GB2312"/>
          <w:color w:val="000000"/>
          <w:sz w:val="32"/>
          <w:szCs w:val="32"/>
        </w:rPr>
      </w:pPr>
      <w:r>
        <w:rPr>
          <w:rFonts w:eastAsia="仿宋_GB2312"/>
          <w:color w:val="000000"/>
          <w:sz w:val="32"/>
          <w:szCs w:val="32"/>
        </w:rPr>
        <w:t>1. 居民须持社会保障·市民卡参加体检。</w:t>
      </w:r>
    </w:p>
    <w:p>
      <w:pPr>
        <w:spacing w:line="540" w:lineRule="exact"/>
        <w:ind w:firstLine="640" w:firstLineChars="200"/>
        <w:rPr>
          <w:rFonts w:eastAsia="仿宋_GB2312"/>
          <w:color w:val="000000"/>
          <w:spacing w:val="-8"/>
          <w:sz w:val="32"/>
          <w:szCs w:val="32"/>
        </w:rPr>
      </w:pPr>
      <w:r>
        <w:rPr>
          <w:rFonts w:eastAsia="仿宋_GB2312"/>
          <w:color w:val="000000"/>
          <w:sz w:val="32"/>
          <w:szCs w:val="32"/>
        </w:rPr>
        <w:t>2.</w:t>
      </w:r>
      <w:r>
        <w:t xml:space="preserve"> </w:t>
      </w:r>
      <w:r>
        <w:rPr>
          <w:rFonts w:eastAsia="仿宋_GB2312"/>
          <w:bCs/>
          <w:color w:val="000000"/>
          <w:sz w:val="32"/>
          <w:szCs w:val="32"/>
        </w:rPr>
        <w:t>卫生健康部门负责健康</w:t>
      </w:r>
      <w:r>
        <w:rPr>
          <w:rFonts w:eastAsia="仿宋_GB2312"/>
          <w:color w:val="000000"/>
          <w:sz w:val="32"/>
          <w:szCs w:val="32"/>
        </w:rPr>
        <w:t>体检，</w:t>
      </w:r>
      <w:r>
        <w:rPr>
          <w:rFonts w:eastAsia="仿宋_GB2312"/>
          <w:color w:val="000000"/>
          <w:spacing w:val="-8"/>
          <w:sz w:val="32"/>
          <w:szCs w:val="32"/>
        </w:rPr>
        <w:t>确保体检的真实性、规范性，</w:t>
      </w:r>
      <w:r>
        <w:rPr>
          <w:rFonts w:eastAsia="仿宋_GB2312"/>
          <w:color w:val="000000"/>
          <w:sz w:val="32"/>
          <w:szCs w:val="32"/>
        </w:rPr>
        <w:t>按有关规定对项目的实施过程及成果进行绩效评价；</w:t>
      </w:r>
      <w:r>
        <w:rPr>
          <w:rFonts w:eastAsia="仿宋_GB2312"/>
          <w:bCs/>
          <w:color w:val="000000"/>
          <w:sz w:val="32"/>
          <w:szCs w:val="32"/>
        </w:rPr>
        <w:t>财政部门负责资金保障工作，适时开展绩效重点评价，建立评价结果应用机制；医保部门负责体检经费的结算拨付，</w:t>
      </w:r>
      <w:r>
        <w:rPr>
          <w:rFonts w:eastAsia="仿宋_GB2312"/>
          <w:color w:val="000000"/>
          <w:spacing w:val="-8"/>
          <w:sz w:val="32"/>
          <w:szCs w:val="32"/>
        </w:rPr>
        <w:t>确保经费专款专用。</w:t>
      </w:r>
    </w:p>
    <w:p>
      <w:pPr>
        <w:spacing w:line="540" w:lineRule="exact"/>
        <w:ind w:firstLine="640" w:firstLineChars="200"/>
        <w:rPr>
          <w:rFonts w:eastAsia="仿宋_GB2312"/>
          <w:color w:val="000000"/>
          <w:sz w:val="32"/>
          <w:szCs w:val="32"/>
        </w:rPr>
      </w:pPr>
      <w:r>
        <w:rPr>
          <w:rFonts w:eastAsia="仿宋_GB2312"/>
          <w:color w:val="000000"/>
          <w:sz w:val="32"/>
          <w:szCs w:val="32"/>
        </w:rPr>
        <w:t>3. 基层医疗卫生机构要完善居民电子健康档案，开展规范体检和健康指导，要加强检后异常人群的随访及不良行为干预；要做好体检结果的记录、整理和反馈，加强对体检结果的分析、利用。</w:t>
      </w:r>
    </w:p>
    <w:p>
      <w:pPr>
        <w:spacing w:line="540" w:lineRule="exact"/>
        <w:ind w:firstLine="640" w:firstLineChars="200"/>
        <w:rPr>
          <w:rFonts w:eastAsia="仿宋_GB2312"/>
          <w:color w:val="000000"/>
          <w:sz w:val="32"/>
          <w:szCs w:val="32"/>
        </w:rPr>
      </w:pPr>
      <w:r>
        <w:rPr>
          <w:rFonts w:eastAsia="仿宋_GB2312"/>
          <w:color w:val="000000"/>
          <w:sz w:val="32"/>
          <w:szCs w:val="32"/>
        </w:rPr>
        <w:t>本方案自印发之日起执行。原体检文件（金卫〔2018〕22号）同时废止。</w:t>
      </w: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pPr>
        <w:pStyle w:val="3"/>
        <w:widowControl/>
        <w:spacing w:beforeAutospacing="0" w:afterAutospacing="0" w:line="560" w:lineRule="exact"/>
        <w:ind w:firstLine="280" w:firstLineChars="100"/>
        <w:jc w:val="both"/>
        <w:rPr>
          <w:rFonts w:ascii="Times New Roman" w:hAnsi="Times New Roman" w:eastAsia="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b w:val="0"/>
        <w:sz w:val="28"/>
        <w:szCs w:val="28"/>
      </w:rPr>
    </w:pPr>
    <w:r>
      <w:rPr>
        <w:rStyle w:val="5"/>
        <w:rFonts w:ascii="Times New Roman"/>
        <w:b w:val="0"/>
        <w:sz w:val="28"/>
        <w:szCs w:val="28"/>
      </w:rPr>
      <w:t xml:space="preserve">— </w:t>
    </w:r>
    <w:r>
      <w:rPr>
        <w:b/>
        <w:sz w:val="28"/>
        <w:szCs w:val="28"/>
      </w:rPr>
      <w:fldChar w:fldCharType="begin"/>
    </w:r>
    <w:r>
      <w:rPr>
        <w:rStyle w:val="5"/>
        <w:rFonts w:ascii="Times New Roman"/>
        <w:b w:val="0"/>
        <w:sz w:val="28"/>
        <w:szCs w:val="28"/>
      </w:rPr>
      <w:instrText xml:space="preserve">PAGE  </w:instrText>
    </w:r>
    <w:r>
      <w:rPr>
        <w:b/>
        <w:sz w:val="28"/>
        <w:szCs w:val="28"/>
      </w:rPr>
      <w:fldChar w:fldCharType="separate"/>
    </w:r>
    <w:r>
      <w:rPr>
        <w:rStyle w:val="5"/>
        <w:rFonts w:ascii="Times New Roman"/>
        <w:b w:val="0"/>
        <w:sz w:val="28"/>
        <w:szCs w:val="28"/>
      </w:rPr>
      <w:t>5</w:t>
    </w:r>
    <w:r>
      <w:rPr>
        <w:b/>
        <w:sz w:val="28"/>
        <w:szCs w:val="28"/>
      </w:rPr>
      <w:fldChar w:fldCharType="end"/>
    </w:r>
    <w:r>
      <w:rPr>
        <w:rStyle w:val="5"/>
        <w:rFonts w:ascii="Times New Roman"/>
        <w:b w:val="0"/>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E0BB1"/>
    <w:rsid w:val="499E0B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Autospacing="1" w:afterAutospacing="1"/>
      <w:jc w:val="left"/>
    </w:pPr>
    <w:rPr>
      <w:rFonts w:ascii="等线" w:hAnsi="等线" w:eastAsia="等线"/>
      <w:kern w:val="0"/>
      <w:sz w:val="24"/>
      <w:szCs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2020-08-04T02:06:00Z</dcterms:created>
  <dc:creator>JinLi</dc:creator>
  <cp:lastModifiedBy>JinLi</cp:lastModifiedBy>
  <dcterms:modified xsi:type="dcterms:W3CDTF">2020-08-04T02:14:23Z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