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33"/>
          <w:tab w:val="left" w:pos="2464"/>
          <w:tab w:val="left" w:pos="13834"/>
          <w:tab w:val="left" w:pos="23944"/>
          <w:tab w:val="left" w:pos="25024"/>
        </w:tabs>
        <w:snapToGrid w:val="0"/>
        <w:spacing w:after="0" w:line="560" w:lineRule="exact"/>
        <w:rPr>
          <w:rFonts w:ascii="宋体" w:hAnsi="宋体" w:cs="宋体"/>
          <w:color w:val="000000"/>
          <w:kern w:val="0"/>
          <w:sz w:val="32"/>
          <w:szCs w:val="32"/>
        </w:rPr>
      </w:pPr>
      <w:r>
        <w:rPr>
          <w:rFonts w:hint="eastAsia" w:ascii="黑体" w:hAnsi="宋体" w:eastAsia="黑体" w:cs="宋体"/>
          <w:color w:val="000000"/>
          <w:kern w:val="0"/>
          <w:sz w:val="32"/>
          <w:szCs w:val="32"/>
        </w:rPr>
        <w:t>附件1</w:t>
      </w:r>
    </w:p>
    <w:p>
      <w:pPr>
        <w:widowControl/>
        <w:spacing w:after="0" w:line="240" w:lineRule="auto"/>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市卫生计生委机关创建全国文明城市网上申报工作责任清单</w:t>
      </w:r>
      <w:bookmarkEnd w:id="0"/>
    </w:p>
    <w:tbl>
      <w:tblPr>
        <w:tblStyle w:val="5"/>
        <w:tblW w:w="14521" w:type="dxa"/>
        <w:jc w:val="center"/>
        <w:tblInd w:w="0" w:type="dxa"/>
        <w:tblLayout w:type="fixed"/>
        <w:tblCellMar>
          <w:top w:w="0" w:type="dxa"/>
          <w:left w:w="108" w:type="dxa"/>
          <w:bottom w:w="0" w:type="dxa"/>
          <w:right w:w="108" w:type="dxa"/>
        </w:tblCellMar>
      </w:tblPr>
      <w:tblGrid>
        <w:gridCol w:w="580"/>
        <w:gridCol w:w="1857"/>
        <w:gridCol w:w="1991"/>
        <w:gridCol w:w="3522"/>
        <w:gridCol w:w="4074"/>
        <w:gridCol w:w="1431"/>
        <w:gridCol w:w="1066"/>
      </w:tblGrid>
      <w:tr>
        <w:tblPrEx>
          <w:tblLayout w:type="fixed"/>
          <w:tblCellMar>
            <w:top w:w="0" w:type="dxa"/>
            <w:left w:w="108" w:type="dxa"/>
            <w:bottom w:w="0" w:type="dxa"/>
            <w:right w:w="108" w:type="dxa"/>
          </w:tblCellMar>
        </w:tblPrEx>
        <w:trPr>
          <w:trHeight w:val="567" w:hRule="atLeast"/>
          <w:tblHeader/>
          <w:jc w:val="center"/>
        </w:trPr>
        <w:tc>
          <w:tcPr>
            <w:tcW w:w="5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序号</w:t>
            </w:r>
          </w:p>
        </w:tc>
        <w:tc>
          <w:tcPr>
            <w:tcW w:w="1857"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指标名称</w:t>
            </w:r>
          </w:p>
        </w:tc>
        <w:tc>
          <w:tcPr>
            <w:tcW w:w="1991"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测评内容</w:t>
            </w:r>
          </w:p>
        </w:tc>
        <w:tc>
          <w:tcPr>
            <w:tcW w:w="3522"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测评标准</w:t>
            </w:r>
          </w:p>
        </w:tc>
        <w:tc>
          <w:tcPr>
            <w:tcW w:w="4074"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网上申报具体要求</w:t>
            </w:r>
          </w:p>
        </w:tc>
        <w:tc>
          <w:tcPr>
            <w:tcW w:w="1431"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责任单位</w:t>
            </w:r>
          </w:p>
        </w:tc>
        <w:tc>
          <w:tcPr>
            <w:tcW w:w="1066"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黑体" w:hAnsi="Times New Roman" w:eastAsia="黑体"/>
                <w:color w:val="000000"/>
                <w:kern w:val="0"/>
                <w:sz w:val="24"/>
                <w:szCs w:val="24"/>
              </w:rPr>
            </w:pPr>
            <w:r>
              <w:rPr>
                <w:rFonts w:hint="eastAsia" w:ascii="黑体" w:hAnsi="Times New Roman" w:eastAsia="黑体"/>
                <w:color w:val="000000"/>
                <w:kern w:val="0"/>
                <w:sz w:val="24"/>
                <w:szCs w:val="24"/>
              </w:rPr>
              <w:t>责任人</w:t>
            </w:r>
          </w:p>
        </w:tc>
      </w:tr>
      <w:tr>
        <w:tblPrEx>
          <w:tblLayout w:type="fixed"/>
          <w:tblCellMar>
            <w:top w:w="0" w:type="dxa"/>
            <w:left w:w="108" w:type="dxa"/>
            <w:bottom w:w="0" w:type="dxa"/>
            <w:right w:w="108" w:type="dxa"/>
          </w:tblCellMar>
        </w:tblPrEx>
        <w:trPr>
          <w:trHeight w:val="567"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Ⅱ－8志愿服务制度化</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Ⅲ－17志愿服务活动</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开展关爱空巢老人、留守儿童、困难职工、残疾人志愿服务活动，开展党员志愿服务，组织专业志愿服务队开展志愿服务。</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从建成区抽选若干社区，提供医疗卫生专业志愿服务队进社区开展志愿服务的情况（说明报告，实景图片）。</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机关团工委  各医院</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陈思睿</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各医院</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院长</w:t>
            </w:r>
          </w:p>
        </w:tc>
      </w:tr>
      <w:tr>
        <w:tblPrEx>
          <w:tblLayout w:type="fixed"/>
          <w:tblCellMar>
            <w:top w:w="0" w:type="dxa"/>
            <w:left w:w="108" w:type="dxa"/>
            <w:bottom w:w="0" w:type="dxa"/>
            <w:right w:w="108" w:type="dxa"/>
          </w:tblCellMar>
        </w:tblPrEx>
        <w:trPr>
          <w:trHeight w:val="567"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Ⅱ－13政务行为规范</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Ⅲ－26依法行政</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推进政府综合执法，完善行政执法管理。</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1.提供市公共卫生领域推进综合执法的规范文件；</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2.说明本市完善行政执法管理，提高执法和服务水平的情况（说明报告）。</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政策法规与综合监督处、市卫生监督所</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王荣顺</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方志坚</w:t>
            </w:r>
          </w:p>
        </w:tc>
      </w:tr>
      <w:tr>
        <w:tblPrEx>
          <w:tblLayout w:type="fixed"/>
          <w:tblCellMar>
            <w:top w:w="0" w:type="dxa"/>
            <w:left w:w="108" w:type="dxa"/>
            <w:bottom w:w="0" w:type="dxa"/>
            <w:right w:w="108" w:type="dxa"/>
          </w:tblCellMar>
        </w:tblPrEx>
        <w:trPr>
          <w:trHeight w:val="567"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Ⅱ－15公民权益维护</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Ⅲ－30公民权益保护</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将老年医疗卫生服务纳入城乡医疗卫生服务规划，逐步增加对养老服务的投入。</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1.提供反映将老年医疗卫生服务纳入城乡医疗卫生服务规划的规范文件。                                      </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2.提供市级财政对养老服务的投入经费情况（说明报告）。</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规划财务处</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计生指导处</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医政医管处</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陈文禹</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李绍益</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吴冠频</w:t>
            </w:r>
          </w:p>
        </w:tc>
      </w:tr>
      <w:tr>
        <w:tblPrEx>
          <w:tblLayout w:type="fixed"/>
          <w:tblCellMar>
            <w:top w:w="0" w:type="dxa"/>
            <w:left w:w="108" w:type="dxa"/>
            <w:bottom w:w="0" w:type="dxa"/>
            <w:right w:w="108" w:type="dxa"/>
          </w:tblCellMar>
        </w:tblPrEx>
        <w:trPr>
          <w:trHeight w:val="567"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Ⅱ－19文明诚信服务</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Ⅲ－37执法监管部门和窗口服务单位</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有高效的投诉处理机制。</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提供本市医院建立高效的投诉处理机制的情况（说明报告）。</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医政医管处  机关纪委</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吴冠频</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周争鸣</w:t>
            </w:r>
          </w:p>
        </w:tc>
      </w:tr>
      <w:tr>
        <w:tblPrEx>
          <w:tblLayout w:type="fixed"/>
          <w:tblCellMar>
            <w:top w:w="0" w:type="dxa"/>
            <w:left w:w="108" w:type="dxa"/>
            <w:bottom w:w="0" w:type="dxa"/>
            <w:right w:w="108" w:type="dxa"/>
          </w:tblCellMar>
        </w:tblPrEx>
        <w:trPr>
          <w:trHeight w:val="567"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Ⅱ－24市民文明素质</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Ⅲ－50公益活动</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开展扶贫帮困、慈善捐助、义务献血、义演义诊等活动。</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1.说明本市开展公益活动（至少4种）的情况（说明报告）；</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2.统计自愿无偿献血占临床用血的比例或千人口献血人次（统计表格）。</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注：临床用血100%来自自愿无偿献血，或千人口献血人次＞10；每献血200毫升折算为1人次。</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办公室      献血办</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应朝华</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李图强</w:t>
            </w:r>
          </w:p>
        </w:tc>
      </w:tr>
      <w:tr>
        <w:tblPrEx>
          <w:tblLayout w:type="fixed"/>
          <w:tblCellMar>
            <w:top w:w="0" w:type="dxa"/>
            <w:left w:w="108" w:type="dxa"/>
            <w:bottom w:w="0" w:type="dxa"/>
            <w:right w:w="108" w:type="dxa"/>
          </w:tblCellMar>
        </w:tblPrEx>
        <w:trPr>
          <w:trHeight w:val="1278" w:hRule="atLeast"/>
          <w:jc w:val="center"/>
        </w:trPr>
        <w:tc>
          <w:tcPr>
            <w:tcW w:w="580" w:type="dxa"/>
            <w:vMerge w:val="restart"/>
            <w:tcBorders>
              <w:top w:val="nil"/>
              <w:left w:val="single" w:color="auto" w:sz="4" w:space="0"/>
              <w:bottom w:val="single" w:color="000000"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w:t>
            </w:r>
          </w:p>
        </w:tc>
        <w:tc>
          <w:tcPr>
            <w:tcW w:w="1857" w:type="dxa"/>
            <w:vMerge w:val="restart"/>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Ⅱ－28医疗与公共卫生</w:t>
            </w:r>
          </w:p>
        </w:tc>
        <w:tc>
          <w:tcPr>
            <w:tcW w:w="1991" w:type="dxa"/>
            <w:vMerge w:val="restart"/>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Ⅲ－61医疗卫生服务体系</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贯彻《全国医疗卫生服务体系规划纲要（2015-2020年）》，制定本地区具体区域卫生规划和医疗机构设置规划。</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提供市有关部门制定规划的规范文件。</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规划财务处</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陈文禹</w:t>
            </w:r>
          </w:p>
        </w:tc>
      </w:tr>
      <w:tr>
        <w:tblPrEx>
          <w:tblLayout w:type="fixed"/>
          <w:tblCellMar>
            <w:top w:w="0" w:type="dxa"/>
            <w:left w:w="108" w:type="dxa"/>
            <w:bottom w:w="0" w:type="dxa"/>
            <w:right w:w="108" w:type="dxa"/>
          </w:tblCellMar>
        </w:tblPrEx>
        <w:trPr>
          <w:trHeight w:val="2207" w:hRule="atLeast"/>
          <w:jc w:val="center"/>
        </w:trPr>
        <w:tc>
          <w:tcPr>
            <w:tcW w:w="580" w:type="dxa"/>
            <w:vMerge w:val="continue"/>
            <w:tcBorders>
              <w:top w:val="nil"/>
              <w:left w:val="single" w:color="auto" w:sz="4" w:space="0"/>
              <w:bottom w:val="single" w:color="000000"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p>
        </w:tc>
        <w:tc>
          <w:tcPr>
            <w:tcW w:w="1857"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p>
        </w:tc>
        <w:tc>
          <w:tcPr>
            <w:tcW w:w="1991" w:type="dxa"/>
            <w:vMerge w:val="continue"/>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≥95%的社区卫生服务机构纳入城镇医疗保险定点机构，每千名常住人口公共卫生人员数≥0.83人。</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1.统计社区卫生服务机构纳入城镇医疗保险定点机构的比率（统计表格）；</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2.统计每千名常住人口公共卫生人员数（统计表格）；</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3.说明本市医疗卫生服务机构普及公共卫生知识、倡导健康文明生活方式的情况（说明报告，实景图片）。</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疾控妇幼处</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基层卫生处</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蔡祖华</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庄建昌</w:t>
            </w:r>
          </w:p>
        </w:tc>
      </w:tr>
      <w:tr>
        <w:tblPrEx>
          <w:tblLayout w:type="fixed"/>
          <w:tblCellMar>
            <w:top w:w="0" w:type="dxa"/>
            <w:left w:w="108" w:type="dxa"/>
            <w:bottom w:w="0" w:type="dxa"/>
            <w:right w:w="108" w:type="dxa"/>
          </w:tblCellMar>
        </w:tblPrEx>
        <w:trPr>
          <w:trHeight w:val="1300"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Ⅱ-30公共安全体系建设</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Ⅲ-66饮用水</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安全</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定期监测、检测本行政区域内供水厂出水和用户水龙头水质等饮水安全状况。</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省级文明办征求省级主管部门意见、作出评价（规范文件）。</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政策法规与综合监督处、市卫生监督所</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王荣顺</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方志坚</w:t>
            </w:r>
          </w:p>
        </w:tc>
      </w:tr>
      <w:tr>
        <w:tblPrEx>
          <w:tblLayout w:type="fixed"/>
          <w:tblCellMar>
            <w:top w:w="0" w:type="dxa"/>
            <w:left w:w="108" w:type="dxa"/>
            <w:bottom w:w="0" w:type="dxa"/>
            <w:right w:w="108" w:type="dxa"/>
          </w:tblCellMar>
        </w:tblPrEx>
        <w:trPr>
          <w:trHeight w:val="702" w:hRule="atLeast"/>
          <w:jc w:val="center"/>
        </w:trPr>
        <w:tc>
          <w:tcPr>
            <w:tcW w:w="580" w:type="dxa"/>
            <w:tcBorders>
              <w:top w:val="nil"/>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w:t>
            </w:r>
          </w:p>
        </w:tc>
        <w:tc>
          <w:tcPr>
            <w:tcW w:w="1857"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Ⅱ-37文明单位创建</w:t>
            </w:r>
          </w:p>
        </w:tc>
        <w:tc>
          <w:tcPr>
            <w:tcW w:w="199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Ⅲ－85扩大创建覆盖面</w:t>
            </w:r>
          </w:p>
        </w:tc>
        <w:tc>
          <w:tcPr>
            <w:tcW w:w="3522"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文明委成员单位开展具有行业特色、职业特点的文明创建活动。</w:t>
            </w:r>
          </w:p>
        </w:tc>
        <w:tc>
          <w:tcPr>
            <w:tcW w:w="4074"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提供本市窗口单位开展文明行业创建的情况（说明报告，实景图片）。</w:t>
            </w:r>
          </w:p>
        </w:tc>
        <w:tc>
          <w:tcPr>
            <w:tcW w:w="1431"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办公室</w:t>
            </w:r>
          </w:p>
        </w:tc>
        <w:tc>
          <w:tcPr>
            <w:tcW w:w="1066" w:type="dxa"/>
            <w:tcBorders>
              <w:top w:val="nil"/>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应朝华</w:t>
            </w:r>
          </w:p>
        </w:tc>
      </w:tr>
      <w:tr>
        <w:tblPrEx>
          <w:tblLayout w:type="fixed"/>
          <w:tblCellMar>
            <w:top w:w="0" w:type="dxa"/>
            <w:left w:w="108" w:type="dxa"/>
            <w:bottom w:w="0" w:type="dxa"/>
            <w:right w:w="108" w:type="dxa"/>
          </w:tblCellMar>
        </w:tblPrEx>
        <w:trPr>
          <w:trHeight w:val="978" w:hRule="atLeast"/>
          <w:jc w:val="center"/>
        </w:trPr>
        <w:tc>
          <w:tcPr>
            <w:tcW w:w="5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w:t>
            </w:r>
          </w:p>
        </w:tc>
        <w:tc>
          <w:tcPr>
            <w:tcW w:w="185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Ⅱ－38以城带乡、城乡共建</w:t>
            </w:r>
          </w:p>
        </w:tc>
        <w:tc>
          <w:tcPr>
            <w:tcW w:w="199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Ⅲ－86帮扶共建</w:t>
            </w:r>
          </w:p>
        </w:tc>
        <w:tc>
          <w:tcPr>
            <w:tcW w:w="352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文化、科技、卫生“三下乡”活动经常化，组织城市文明单位与村镇结成对子长期帮建。</w:t>
            </w:r>
          </w:p>
        </w:tc>
        <w:tc>
          <w:tcPr>
            <w:tcW w:w="407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提供市级相关部门开展“三下乡”活动、文明单位与村镇结对子的情况（统计表格）。</w:t>
            </w:r>
          </w:p>
        </w:tc>
        <w:tc>
          <w:tcPr>
            <w:tcW w:w="143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办公室</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医政医管处</w:t>
            </w:r>
          </w:p>
        </w:tc>
        <w:tc>
          <w:tcPr>
            <w:tcW w:w="106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应朝华</w:t>
            </w:r>
            <w:r>
              <w:rPr>
                <w:rFonts w:hint="default" w:ascii="Times New Roman" w:hAnsi="Times New Roman" w:eastAsia="仿宋_GB2312" w:cs="Times New Roman"/>
                <w:color w:val="000000"/>
                <w:kern w:val="0"/>
                <w:sz w:val="24"/>
                <w:szCs w:val="24"/>
              </w:rPr>
              <w:br w:type="textWrapping"/>
            </w:r>
            <w:r>
              <w:rPr>
                <w:rFonts w:hint="default" w:ascii="Times New Roman" w:hAnsi="Times New Roman" w:eastAsia="仿宋_GB2312" w:cs="Times New Roman"/>
                <w:color w:val="000000"/>
                <w:kern w:val="0"/>
                <w:sz w:val="24"/>
                <w:szCs w:val="24"/>
              </w:rPr>
              <w:t>吴冠频</w:t>
            </w:r>
          </w:p>
        </w:tc>
      </w:tr>
      <w:tr>
        <w:tblPrEx>
          <w:tblLayout w:type="fixed"/>
          <w:tblCellMar>
            <w:top w:w="0" w:type="dxa"/>
            <w:left w:w="108" w:type="dxa"/>
            <w:bottom w:w="0" w:type="dxa"/>
            <w:right w:w="108" w:type="dxa"/>
          </w:tblCellMar>
        </w:tblPrEx>
        <w:trPr>
          <w:trHeight w:val="90" w:hRule="atLeast"/>
          <w:jc w:val="center"/>
        </w:trPr>
        <w:tc>
          <w:tcPr>
            <w:tcW w:w="5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10</w:t>
            </w:r>
          </w:p>
        </w:tc>
        <w:tc>
          <w:tcPr>
            <w:tcW w:w="185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校园周边</w:t>
            </w:r>
          </w:p>
        </w:tc>
        <w:tc>
          <w:tcPr>
            <w:tcW w:w="9587"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eastAsia="zh-CN"/>
              </w:rPr>
              <w:t>中小学校园周边</w:t>
            </w:r>
            <w:r>
              <w:rPr>
                <w:rFonts w:hint="default" w:ascii="Times New Roman" w:hAnsi="Times New Roman" w:eastAsia="仿宋_GB2312" w:cs="Times New Roman"/>
                <w:color w:val="000000"/>
                <w:kern w:val="0"/>
                <w:sz w:val="24"/>
                <w:szCs w:val="24"/>
                <w:lang w:val="en-US" w:eastAsia="zh-CN"/>
              </w:rPr>
              <w:t>200米内无非法行医或以人流、性病治疗业务为主的诊所。　</w:t>
            </w:r>
          </w:p>
        </w:tc>
        <w:tc>
          <w:tcPr>
            <w:tcW w:w="143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市卫生监督所</w:t>
            </w:r>
          </w:p>
        </w:tc>
        <w:tc>
          <w:tcPr>
            <w:tcW w:w="106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方志坚</w:t>
            </w:r>
          </w:p>
        </w:tc>
      </w:tr>
      <w:tr>
        <w:tblPrEx>
          <w:tblLayout w:type="fixed"/>
          <w:tblCellMar>
            <w:top w:w="0" w:type="dxa"/>
            <w:left w:w="108" w:type="dxa"/>
            <w:bottom w:w="0" w:type="dxa"/>
            <w:right w:w="108" w:type="dxa"/>
          </w:tblCellMar>
        </w:tblPrEx>
        <w:trPr>
          <w:trHeight w:val="90" w:hRule="atLeast"/>
          <w:jc w:val="center"/>
        </w:trPr>
        <w:tc>
          <w:tcPr>
            <w:tcW w:w="5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11</w:t>
            </w:r>
          </w:p>
        </w:tc>
        <w:tc>
          <w:tcPr>
            <w:tcW w:w="185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餐饮店</w:t>
            </w:r>
          </w:p>
        </w:tc>
        <w:tc>
          <w:tcPr>
            <w:tcW w:w="9587" w:type="dxa"/>
            <w:gridSpan w:val="3"/>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1.从业人员持有有效健康证上岗；</w:t>
            </w:r>
          </w:p>
          <w:p>
            <w:pPr>
              <w:widowControl/>
              <w:spacing w:after="0" w:line="300" w:lineRule="exact"/>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2.有消毒设备，有消毒记录，未进行消毒的，一次性消毒餐具超过保质日期现象。</w:t>
            </w:r>
          </w:p>
        </w:tc>
        <w:tc>
          <w:tcPr>
            <w:tcW w:w="1431" w:type="dxa"/>
            <w:vMerge w:val="restart"/>
            <w:tcBorders>
              <w:top w:val="single" w:color="auto" w:sz="4" w:space="0"/>
              <w:left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疾控妇幼处</w:t>
            </w:r>
          </w:p>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市卫生监督所</w:t>
            </w:r>
          </w:p>
        </w:tc>
        <w:tc>
          <w:tcPr>
            <w:tcW w:w="1066" w:type="dxa"/>
            <w:vMerge w:val="restart"/>
            <w:tcBorders>
              <w:top w:val="single" w:color="auto" w:sz="4" w:space="0"/>
              <w:left w:val="single" w:color="auto" w:sz="4" w:space="0"/>
              <w:right w:val="single" w:color="auto" w:sz="4" w:space="0"/>
            </w:tcBorders>
            <w:tcMar>
              <w:left w:w="57" w:type="dxa"/>
              <w:right w:w="57" w:type="dxa"/>
            </w:tcMar>
            <w:vAlign w:val="center"/>
          </w:tcPr>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蔡祖华</w:t>
            </w:r>
          </w:p>
          <w:p>
            <w:pPr>
              <w:widowControl/>
              <w:spacing w:after="0" w:line="300" w:lineRule="exact"/>
              <w:jc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方志坚</w:t>
            </w:r>
          </w:p>
        </w:tc>
      </w:tr>
      <w:tr>
        <w:tblPrEx>
          <w:tblLayout w:type="fixed"/>
          <w:tblCellMar>
            <w:top w:w="0" w:type="dxa"/>
            <w:left w:w="108" w:type="dxa"/>
            <w:bottom w:w="0" w:type="dxa"/>
            <w:right w:w="108" w:type="dxa"/>
          </w:tblCellMar>
        </w:tblPrEx>
        <w:trPr>
          <w:trHeight w:val="328" w:hRule="atLeast"/>
          <w:jc w:val="center"/>
        </w:trPr>
        <w:tc>
          <w:tcPr>
            <w:tcW w:w="580"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Times New Roman" w:hAnsi="Times New Roman" w:eastAsia="楷体_GB2312"/>
                <w:color w:val="000000"/>
                <w:kern w:val="0"/>
                <w:sz w:val="24"/>
                <w:szCs w:val="24"/>
                <w:lang w:val="en-US" w:eastAsia="zh-CN"/>
              </w:rPr>
            </w:pPr>
            <w:r>
              <w:rPr>
                <w:rFonts w:hint="eastAsia" w:ascii="Times New Roman" w:hAnsi="Times New Roman" w:eastAsia="楷体_GB2312"/>
                <w:color w:val="000000"/>
                <w:kern w:val="0"/>
                <w:sz w:val="24"/>
                <w:szCs w:val="24"/>
                <w:lang w:val="en-US" w:eastAsia="zh-CN"/>
              </w:rPr>
              <w:t>12</w:t>
            </w:r>
          </w:p>
        </w:tc>
        <w:tc>
          <w:tcPr>
            <w:tcW w:w="1857" w:type="dxa"/>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jc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经营性公共场所</w:t>
            </w:r>
          </w:p>
        </w:tc>
        <w:tc>
          <w:tcPr>
            <w:tcW w:w="9587" w:type="dxa"/>
            <w:gridSpan w:val="3"/>
            <w:tcBorders>
              <w:top w:val="single" w:color="auto" w:sz="4" w:space="0"/>
              <w:left w:val="nil"/>
              <w:bottom w:val="single" w:color="auto" w:sz="4" w:space="0"/>
              <w:right w:val="single" w:color="auto" w:sz="4" w:space="0"/>
            </w:tcBorders>
            <w:tcMar>
              <w:left w:w="57" w:type="dxa"/>
              <w:right w:w="57" w:type="dxa"/>
            </w:tcMar>
            <w:vAlign w:val="center"/>
          </w:tcPr>
          <w:p>
            <w:pPr>
              <w:widowControl/>
              <w:spacing w:after="0" w:line="30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经营性公共场所有消毒设备，从业人员持健康证明上岗。</w:t>
            </w:r>
          </w:p>
        </w:tc>
        <w:tc>
          <w:tcPr>
            <w:tcW w:w="1431" w:type="dxa"/>
            <w:vMerge w:val="continue"/>
            <w:tcBorders>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ascii="Times New Roman" w:hAnsi="Times New Roman" w:eastAsia="楷体_GB2312"/>
                <w:color w:val="000000"/>
                <w:kern w:val="0"/>
                <w:sz w:val="24"/>
                <w:szCs w:val="24"/>
              </w:rPr>
            </w:pPr>
          </w:p>
        </w:tc>
        <w:tc>
          <w:tcPr>
            <w:tcW w:w="1066" w:type="dxa"/>
            <w:vMerge w:val="continue"/>
            <w:tcBorders>
              <w:left w:val="single" w:color="auto" w:sz="4" w:space="0"/>
              <w:bottom w:val="single" w:color="auto" w:sz="4" w:space="0"/>
              <w:right w:val="single" w:color="auto" w:sz="4" w:space="0"/>
            </w:tcBorders>
            <w:tcMar>
              <w:left w:w="57" w:type="dxa"/>
              <w:right w:w="57" w:type="dxa"/>
            </w:tcMar>
            <w:vAlign w:val="center"/>
          </w:tcPr>
          <w:p>
            <w:pPr>
              <w:widowControl/>
              <w:spacing w:after="0" w:line="300" w:lineRule="exact"/>
              <w:jc w:val="center"/>
              <w:rPr>
                <w:rFonts w:ascii="Times New Roman" w:hAnsi="Times New Roman" w:eastAsia="楷体_GB2312"/>
                <w:color w:val="000000"/>
                <w:kern w:val="0"/>
                <w:sz w:val="24"/>
                <w:szCs w:val="24"/>
              </w:rPr>
            </w:pPr>
          </w:p>
        </w:tc>
      </w:tr>
    </w:tbl>
    <w:p>
      <w:pPr>
        <w:spacing w:after="0" w:line="560" w:lineRule="exact"/>
        <w:ind w:firstLine="640" w:firstLineChars="200"/>
        <w:rPr>
          <w:rFonts w:hint="eastAsia" w:ascii="Times New Roman" w:hAnsi="Times New Roman" w:eastAsia="仿宋_GB2312"/>
          <w:sz w:val="32"/>
          <w:szCs w:val="32"/>
        </w:rPr>
        <w:sectPr>
          <w:pgSz w:w="16840" w:h="11907" w:orient="landscape"/>
          <w:pgMar w:top="1418" w:right="1418" w:bottom="1418" w:left="1418" w:header="851" w:footer="1247"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BA27FE"/>
    <w:rsid w:val="61BA27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20" w:line="276" w:lineRule="auto"/>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uto"/>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zx07\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2018-07-23T09:24:00Z</dcterms:created>
  <dc:creator>xxzx07</dc:creator>
  <cp:lastModifiedBy>xxzx07</cp:lastModifiedBy>
  <dcterms:modified xsi:type="dcterms:W3CDTF">2018-07-23T09:25:52Z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