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黑体" w:hAnsi="Times New Roman" w:eastAsia="黑体" w:cs="Times New Roman"/>
          <w:sz w:val="32"/>
          <w:szCs w:val="32"/>
        </w:rPr>
      </w:pPr>
      <w:r>
        <w:rPr>
          <w:rFonts w:hint="eastAsia" w:ascii="黑体" w:hAnsi="Times New Roman" w:eastAsia="黑体" w:cs="Times New Roman"/>
          <w:sz w:val="32"/>
          <w:szCs w:val="32"/>
        </w:rPr>
        <w:t>附件1</w:t>
      </w:r>
    </w:p>
    <w:p>
      <w:pPr>
        <w:snapToGrid w:val="0"/>
        <w:jc w:val="center"/>
        <w:rPr>
          <w:rFonts w:hint="eastAsia" w:ascii="方正小标宋简体" w:hAnsi="Times New Roman" w:eastAsia="方正小标宋简体" w:cs="Times New Roman"/>
          <w:sz w:val="44"/>
          <w:szCs w:val="44"/>
        </w:rPr>
      </w:pPr>
      <w:bookmarkStart w:id="0" w:name="_GoBack"/>
      <w:r>
        <w:rPr>
          <w:rFonts w:hint="eastAsia" w:ascii="方正小标宋简体" w:hAnsi="Times New Roman" w:eastAsia="方正小标宋简体" w:cs="Times New Roman"/>
          <w:sz w:val="44"/>
          <w:szCs w:val="44"/>
        </w:rPr>
        <w:t>金华市区基层医疗卫生机构补偿机制改革</w:t>
      </w:r>
    </w:p>
    <w:p>
      <w:pPr>
        <w:snapToGrid w:val="0"/>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基本服务项目标化工作当量标准</w:t>
      </w:r>
    </w:p>
    <w:bookmarkEnd w:id="0"/>
    <w:p>
      <w:pPr>
        <w:snapToGrid w:val="0"/>
        <w:spacing w:line="240" w:lineRule="exact"/>
        <w:ind w:firstLine="6080" w:firstLineChars="1900"/>
        <w:rPr>
          <w:rFonts w:ascii="Times New Roman" w:hAnsi="Times New Roman" w:eastAsia="方正小标宋简体" w:cs="Times New Roman"/>
          <w:sz w:val="32"/>
          <w:szCs w:val="32"/>
        </w:rPr>
      </w:pPr>
    </w:p>
    <w:tbl>
      <w:tblPr>
        <w:tblStyle w:val="3"/>
        <w:tblW w:w="143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1024"/>
        <w:gridCol w:w="1238"/>
        <w:gridCol w:w="857"/>
        <w:gridCol w:w="720"/>
        <w:gridCol w:w="894"/>
        <w:gridCol w:w="4347"/>
        <w:gridCol w:w="1199"/>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08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hint="eastAsia" w:ascii="宋体" w:hAnsi="宋体" w:cs="Times New Roman"/>
                <w:b/>
                <w:bCs/>
                <w:sz w:val="20"/>
                <w:szCs w:val="20"/>
              </w:rPr>
            </w:pPr>
            <w:r>
              <w:rPr>
                <w:rFonts w:hint="eastAsia" w:ascii="宋体" w:hAnsi="宋体" w:cs="Times New Roman"/>
                <w:b/>
                <w:bCs/>
                <w:sz w:val="20"/>
                <w:szCs w:val="20"/>
              </w:rPr>
              <w:t>项目</w:t>
            </w:r>
          </w:p>
          <w:p>
            <w:pPr>
              <w:snapToGrid w:val="0"/>
              <w:jc w:val="center"/>
              <w:rPr>
                <w:rFonts w:ascii="宋体" w:hAnsi="宋体" w:cs="Times New Roman"/>
                <w:b/>
                <w:bCs/>
                <w:sz w:val="20"/>
                <w:szCs w:val="20"/>
              </w:rPr>
            </w:pPr>
            <w:r>
              <w:rPr>
                <w:rFonts w:hint="eastAsia" w:ascii="宋体" w:hAnsi="宋体" w:cs="Times New Roman"/>
                <w:b/>
                <w:bCs/>
                <w:sz w:val="20"/>
                <w:szCs w:val="20"/>
              </w:rPr>
              <w:t>分类</w:t>
            </w:r>
          </w:p>
        </w:tc>
        <w:tc>
          <w:tcPr>
            <w:tcW w:w="102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b/>
                <w:bCs/>
                <w:sz w:val="20"/>
                <w:szCs w:val="20"/>
              </w:rPr>
            </w:pPr>
            <w:r>
              <w:rPr>
                <w:rFonts w:hint="eastAsia" w:ascii="宋体" w:hAnsi="宋体" w:cs="Times New Roman"/>
                <w:b/>
                <w:bCs/>
                <w:sz w:val="20"/>
                <w:szCs w:val="20"/>
              </w:rPr>
              <w:t>服务项目名称</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hint="eastAsia" w:ascii="宋体" w:hAnsi="宋体" w:cs="Times New Roman"/>
                <w:b/>
                <w:bCs/>
                <w:sz w:val="20"/>
                <w:szCs w:val="20"/>
              </w:rPr>
            </w:pPr>
            <w:r>
              <w:rPr>
                <w:rFonts w:hint="eastAsia" w:ascii="宋体" w:hAnsi="宋体" w:cs="Times New Roman"/>
                <w:b/>
                <w:bCs/>
                <w:sz w:val="20"/>
                <w:szCs w:val="20"/>
              </w:rPr>
              <w:t>子项目</w:t>
            </w:r>
          </w:p>
          <w:p>
            <w:pPr>
              <w:snapToGrid w:val="0"/>
              <w:jc w:val="center"/>
              <w:rPr>
                <w:rFonts w:ascii="宋体" w:hAnsi="宋体" w:cs="Times New Roman"/>
                <w:b/>
                <w:bCs/>
                <w:sz w:val="20"/>
                <w:szCs w:val="20"/>
              </w:rPr>
            </w:pPr>
            <w:r>
              <w:rPr>
                <w:rFonts w:hint="eastAsia" w:ascii="宋体" w:hAnsi="宋体" w:cs="Times New Roman"/>
                <w:b/>
                <w:bCs/>
                <w:sz w:val="20"/>
                <w:szCs w:val="20"/>
              </w:rPr>
              <w:t>名称</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b/>
                <w:bCs/>
                <w:sz w:val="20"/>
                <w:szCs w:val="20"/>
              </w:rPr>
            </w:pPr>
            <w:r>
              <w:rPr>
                <w:rFonts w:hint="eastAsia" w:ascii="宋体" w:hAnsi="宋体" w:cs="Times New Roman"/>
                <w:b/>
                <w:bCs/>
                <w:sz w:val="20"/>
                <w:szCs w:val="20"/>
              </w:rPr>
              <w:t>单位</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b/>
                <w:bCs/>
                <w:sz w:val="20"/>
                <w:szCs w:val="20"/>
              </w:rPr>
            </w:pPr>
            <w:r>
              <w:rPr>
                <w:rFonts w:hint="eastAsia" w:ascii="宋体" w:hAnsi="宋体" w:cs="Times New Roman"/>
                <w:b/>
                <w:bCs/>
                <w:sz w:val="20"/>
                <w:szCs w:val="20"/>
              </w:rPr>
              <w:t>标化工作当量</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b/>
                <w:bCs/>
                <w:sz w:val="20"/>
                <w:szCs w:val="20"/>
              </w:rPr>
            </w:pPr>
            <w:r>
              <w:rPr>
                <w:rFonts w:hint="eastAsia" w:ascii="宋体" w:hAnsi="宋体" w:cs="Times New Roman"/>
                <w:b/>
                <w:bCs/>
                <w:sz w:val="20"/>
                <w:szCs w:val="20"/>
              </w:rPr>
              <w:t>调整后标化工作当量</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b/>
                <w:bCs/>
                <w:sz w:val="20"/>
                <w:szCs w:val="20"/>
              </w:rPr>
            </w:pPr>
            <w:r>
              <w:rPr>
                <w:rFonts w:hint="eastAsia" w:ascii="宋体" w:hAnsi="宋体" w:cs="Times New Roman"/>
                <w:b/>
                <w:bCs/>
                <w:sz w:val="20"/>
                <w:szCs w:val="20"/>
              </w:rPr>
              <w:t>项目定义</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b/>
                <w:bCs/>
                <w:sz w:val="20"/>
                <w:szCs w:val="20"/>
              </w:rPr>
            </w:pPr>
            <w:r>
              <w:rPr>
                <w:rFonts w:hint="eastAsia" w:ascii="宋体" w:hAnsi="宋体" w:cs="Times New Roman"/>
                <w:b/>
                <w:bCs/>
                <w:sz w:val="20"/>
                <w:szCs w:val="20"/>
              </w:rPr>
              <w:t>数据</w:t>
            </w:r>
          </w:p>
          <w:p>
            <w:pPr>
              <w:snapToGrid w:val="0"/>
              <w:jc w:val="center"/>
              <w:rPr>
                <w:rFonts w:ascii="宋体" w:hAnsi="宋体" w:cs="Times New Roman"/>
                <w:b/>
                <w:bCs/>
                <w:sz w:val="20"/>
                <w:szCs w:val="20"/>
              </w:rPr>
            </w:pPr>
            <w:r>
              <w:rPr>
                <w:rFonts w:hint="eastAsia" w:ascii="宋体" w:hAnsi="宋体" w:cs="Times New Roman"/>
                <w:b/>
                <w:bCs/>
                <w:sz w:val="20"/>
                <w:szCs w:val="20"/>
              </w:rPr>
              <w:t>来源</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b/>
                <w:bCs/>
                <w:sz w:val="20"/>
                <w:szCs w:val="20"/>
              </w:rPr>
            </w:pPr>
            <w:r>
              <w:rPr>
                <w:rFonts w:hint="eastAsia" w:ascii="宋体" w:hAnsi="宋体" w:cs="Times New Roman"/>
                <w:b/>
                <w:bCs/>
                <w:sz w:val="20"/>
                <w:szCs w:val="20"/>
              </w:rPr>
              <w:t>数据统计口径及数量控制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1" w:hRule="atLeast"/>
          <w:jc w:val="center"/>
        </w:trPr>
        <w:tc>
          <w:tcPr>
            <w:tcW w:w="1087" w:type="dxa"/>
            <w:vMerge w:val="restart"/>
            <w:tcBorders>
              <w:top w:val="single" w:color="000000" w:sz="8" w:space="0"/>
              <w:left w:val="single" w:color="000000" w:sz="8" w:space="0"/>
              <w:right w:val="single" w:color="000000" w:sz="8" w:space="0"/>
            </w:tcBorders>
            <w:vAlign w:val="center"/>
          </w:tcPr>
          <w:p>
            <w:pPr>
              <w:snapToGrid w:val="0"/>
              <w:jc w:val="center"/>
              <w:rPr>
                <w:rFonts w:hint="eastAsia" w:ascii="宋体" w:hAnsi="宋体" w:cs="Times New Roman"/>
                <w:b/>
                <w:bCs/>
                <w:sz w:val="20"/>
                <w:szCs w:val="20"/>
              </w:rPr>
            </w:pPr>
            <w:r>
              <w:rPr>
                <w:rFonts w:ascii="宋体" w:hAnsi="宋体" w:cs="Times New Roman"/>
                <w:b/>
                <w:bCs/>
                <w:sz w:val="20"/>
                <w:szCs w:val="20"/>
              </w:rPr>
              <w:t>1.</w:t>
            </w:r>
            <w:r>
              <w:rPr>
                <w:rFonts w:hint="eastAsia" w:ascii="宋体" w:hAnsi="宋体" w:cs="Times New Roman"/>
                <w:b/>
                <w:bCs/>
                <w:sz w:val="20"/>
                <w:szCs w:val="20"/>
              </w:rPr>
              <w:t>基本</w:t>
            </w:r>
          </w:p>
          <w:p>
            <w:pPr>
              <w:snapToGrid w:val="0"/>
              <w:jc w:val="center"/>
              <w:rPr>
                <w:rFonts w:ascii="宋体" w:hAnsi="宋体" w:cs="Times New Roman"/>
                <w:b/>
                <w:bCs/>
                <w:sz w:val="20"/>
                <w:szCs w:val="20"/>
              </w:rPr>
            </w:pPr>
            <w:r>
              <w:rPr>
                <w:rFonts w:hint="eastAsia" w:ascii="宋体" w:hAnsi="宋体" w:cs="Times New Roman"/>
                <w:b/>
                <w:bCs/>
                <w:sz w:val="20"/>
                <w:szCs w:val="20"/>
              </w:rPr>
              <w:t>医疗</w:t>
            </w:r>
          </w:p>
        </w:tc>
        <w:tc>
          <w:tcPr>
            <w:tcW w:w="1024" w:type="dxa"/>
            <w:tcBorders>
              <w:top w:val="single" w:color="000000" w:sz="8" w:space="0"/>
              <w:left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 xml:space="preserve">1.1 </w:t>
            </w:r>
            <w:r>
              <w:rPr>
                <w:rFonts w:hint="eastAsia" w:ascii="宋体" w:hAnsi="宋体" w:cs="Times New Roman"/>
                <w:sz w:val="20"/>
                <w:szCs w:val="20"/>
              </w:rPr>
              <w:t>门诊</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1.1.1</w:t>
            </w:r>
            <w:r>
              <w:rPr>
                <w:rFonts w:hint="eastAsia" w:ascii="宋体" w:hAnsi="宋体" w:cs="Times New Roman"/>
                <w:sz w:val="20"/>
                <w:szCs w:val="20"/>
              </w:rPr>
              <w:t>门（急）诊</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人次</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1</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0.</w:t>
            </w:r>
            <w:r>
              <w:rPr>
                <w:rFonts w:hint="eastAsia" w:ascii="宋体" w:hAnsi="宋体" w:cs="Times New Roman"/>
                <w:sz w:val="20"/>
                <w:szCs w:val="20"/>
              </w:rPr>
              <w:t>8</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以门诊形式处理常见病、多发病及一般急症，主要包括：就诊患者的病史询问、体格检查、病情评估、告知与沟通、治疗处理、健康教育，书写完整门诊病历，录入患者健康档案。</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医院管理信息系统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宋体"/>
                <w:color w:val="000000"/>
                <w:sz w:val="20"/>
                <w:szCs w:val="20"/>
              </w:rPr>
              <w:t>以收取一般诊疗费为标准。从业人员体检、有价疫苗接种均不列入门诊人次。每门诊人次按</w:t>
            </w:r>
            <w:r>
              <w:rPr>
                <w:rFonts w:ascii="宋体" w:hAnsi="宋体" w:cs="宋体"/>
                <w:color w:val="000000"/>
                <w:sz w:val="20"/>
                <w:szCs w:val="20"/>
              </w:rPr>
              <w:t>1</w:t>
            </w:r>
            <w:r>
              <w:rPr>
                <w:rFonts w:hint="eastAsia" w:ascii="宋体" w:hAnsi="宋体" w:cs="宋体"/>
                <w:color w:val="000000"/>
                <w:sz w:val="20"/>
                <w:szCs w:val="20"/>
              </w:rPr>
              <w:t>个当量计。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cs="Times New Roman"/>
                <w:b/>
                <w:bCs/>
                <w:sz w:val="20"/>
                <w:szCs w:val="20"/>
              </w:rPr>
            </w:pPr>
          </w:p>
        </w:tc>
        <w:tc>
          <w:tcPr>
            <w:tcW w:w="1024" w:type="dxa"/>
            <w:tcBorders>
              <w:top w:val="single" w:color="000000" w:sz="8" w:space="0"/>
              <w:left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1.2</w:t>
            </w:r>
            <w:r>
              <w:rPr>
                <w:rFonts w:hint="eastAsia" w:ascii="宋体" w:hAnsi="宋体" w:cs="Times New Roman"/>
                <w:sz w:val="20"/>
                <w:szCs w:val="20"/>
              </w:rPr>
              <w:t>住院</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1.2.1</w:t>
            </w:r>
            <w:r>
              <w:rPr>
                <w:rFonts w:hint="eastAsia" w:ascii="宋体" w:hAnsi="宋体" w:cs="Times New Roman"/>
                <w:sz w:val="20"/>
                <w:szCs w:val="20"/>
              </w:rPr>
              <w:t>住院床日</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床日</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5</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3</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常规查房诊疗、病情评估、告知与沟通、调整治疗、健康教育，书写完整住院病史及病程记录。</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医院管理信息系统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即出院者实际占用床日，以出院结算日期为准统计住院天数，入出院只计算</w:t>
            </w:r>
            <w:r>
              <w:rPr>
                <w:rFonts w:ascii="宋体" w:hAnsi="宋体" w:cs="Times New Roman"/>
                <w:sz w:val="20"/>
                <w:szCs w:val="20"/>
              </w:rPr>
              <w:t>1</w:t>
            </w:r>
            <w:r>
              <w:rPr>
                <w:rFonts w:hint="eastAsia" w:ascii="宋体" w:hAnsi="宋体" w:cs="Times New Roman"/>
                <w:sz w:val="20"/>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cs="Times New Roman"/>
                <w:b/>
                <w:bCs/>
                <w:sz w:val="20"/>
                <w:szCs w:val="20"/>
              </w:rPr>
            </w:pPr>
          </w:p>
        </w:tc>
        <w:tc>
          <w:tcPr>
            <w:tcW w:w="1024" w:type="dxa"/>
            <w:tcBorders>
              <w:top w:val="single" w:color="000000" w:sz="8" w:space="0"/>
              <w:left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1.3</w:t>
            </w:r>
            <w:r>
              <w:rPr>
                <w:rFonts w:hint="eastAsia" w:ascii="宋体" w:hAnsi="宋体" w:cs="Times New Roman"/>
                <w:sz w:val="20"/>
                <w:szCs w:val="20"/>
              </w:rPr>
              <w:t>双向转诊</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1.3.1</w:t>
            </w:r>
            <w:r>
              <w:rPr>
                <w:rFonts w:hint="eastAsia" w:ascii="宋体" w:hAnsi="宋体" w:cs="Times New Roman"/>
                <w:sz w:val="20"/>
                <w:szCs w:val="20"/>
              </w:rPr>
              <w:t>预约转诊（含上、下转）</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人次</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1</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为需要上转的病人联系预约上级医院，办理转诊手续，病人如约就诊；接收上级医院下转到本单位的病人，办理接收手续。</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双向转诊平台</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由下级机构预约转诊至上级机构就诊，按照转诊到位后上级医院诊疗记录统计，下转同上。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1"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cs="Times New Roman"/>
                <w:b/>
                <w:bCs/>
                <w:sz w:val="20"/>
                <w:szCs w:val="20"/>
              </w:rPr>
            </w:pPr>
          </w:p>
        </w:tc>
        <w:tc>
          <w:tcPr>
            <w:tcW w:w="1024" w:type="dxa"/>
            <w:tcBorders>
              <w:top w:val="single" w:color="000000" w:sz="8" w:space="0"/>
              <w:left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1.4出院患者访视</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szCs w:val="20"/>
              </w:rPr>
            </w:pPr>
            <w:r>
              <w:rPr>
                <w:rFonts w:ascii="宋体" w:hAnsi="宋体"/>
                <w:sz w:val="20"/>
                <w:szCs w:val="20"/>
              </w:rPr>
              <w:t>1.</w:t>
            </w:r>
            <w:r>
              <w:rPr>
                <w:rFonts w:hint="eastAsia" w:ascii="宋体" w:hAnsi="宋体"/>
                <w:sz w:val="20"/>
                <w:szCs w:val="20"/>
              </w:rPr>
              <w:t>4</w:t>
            </w:r>
            <w:r>
              <w:rPr>
                <w:rFonts w:ascii="宋体" w:hAnsi="宋体"/>
                <w:sz w:val="20"/>
                <w:szCs w:val="20"/>
              </w:rPr>
              <w:t>.</w:t>
            </w:r>
            <w:r>
              <w:rPr>
                <w:rFonts w:hint="eastAsia" w:ascii="宋体" w:hAnsi="宋体"/>
                <w:sz w:val="20"/>
                <w:szCs w:val="20"/>
              </w:rPr>
              <w:t>1出院患者访视</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szCs w:val="20"/>
              </w:rPr>
            </w:pPr>
            <w:r>
              <w:rPr>
                <w:rFonts w:hint="eastAsia" w:ascii="宋体" w:hAnsi="宋体"/>
                <w:sz w:val="20"/>
                <w:szCs w:val="20"/>
              </w:rPr>
              <w:t>人次</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szCs w:val="20"/>
              </w:rPr>
            </w:pPr>
            <w:r>
              <w:rPr>
                <w:rFonts w:ascii="宋体" w:hAnsi="宋体"/>
                <w:sz w:val="20"/>
                <w:szCs w:val="20"/>
              </w:rPr>
              <w:t>2</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szCs w:val="20"/>
              </w:rPr>
            </w:pPr>
            <w:r>
              <w:rPr>
                <w:rFonts w:ascii="宋体" w:hAnsi="宋体"/>
                <w:sz w:val="20"/>
                <w:szCs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szCs w:val="20"/>
              </w:rPr>
            </w:pPr>
            <w:r>
              <w:rPr>
                <w:rFonts w:hint="eastAsia" w:ascii="宋体" w:hAnsi="宋体"/>
                <w:sz w:val="20"/>
                <w:szCs w:val="20"/>
              </w:rPr>
              <w:t>通过电话、入户等方式由医护人员为出院后需要院外继续治疗、康复的病人进行随访，重点内容为：了解康复情况、部分药事服务、健康教育、营养和健康行为指导等，并录入健康档案。</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sz w:val="20"/>
                <w:szCs w:val="20"/>
              </w:rPr>
            </w:pPr>
            <w:r>
              <w:rPr>
                <w:rFonts w:hint="eastAsia" w:ascii="宋体" w:hAnsi="宋体"/>
                <w:sz w:val="20"/>
                <w:szCs w:val="20"/>
              </w:rPr>
              <w:t>健康档案系统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sz w:val="20"/>
                <w:szCs w:val="20"/>
              </w:rPr>
            </w:pPr>
            <w:r>
              <w:rPr>
                <w:rFonts w:hint="eastAsia" w:ascii="宋体" w:hAnsi="宋体"/>
                <w:sz w:val="20"/>
                <w:szCs w:val="20"/>
              </w:rPr>
              <w:t>按照出院患者随访记录统计，一位出院患者只计算</w:t>
            </w:r>
            <w:r>
              <w:rPr>
                <w:rFonts w:ascii="宋体" w:hAnsi="宋体"/>
                <w:sz w:val="20"/>
                <w:szCs w:val="20"/>
              </w:rPr>
              <w:t>1</w:t>
            </w:r>
            <w:r>
              <w:rPr>
                <w:rFonts w:hint="eastAsia" w:ascii="宋体" w:hAnsi="宋体"/>
                <w:sz w:val="20"/>
                <w:szCs w:val="20"/>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cs="Times New Roman"/>
                <w:b/>
                <w:bCs/>
                <w:sz w:val="20"/>
                <w:szCs w:val="20"/>
              </w:rPr>
            </w:pPr>
          </w:p>
        </w:tc>
        <w:tc>
          <w:tcPr>
            <w:tcW w:w="1024" w:type="dxa"/>
            <w:tcBorders>
              <w:top w:val="single" w:color="000000" w:sz="8" w:space="0"/>
              <w:left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1</w:t>
            </w:r>
            <w:r>
              <w:rPr>
                <w:rFonts w:hint="eastAsia" w:ascii="宋体" w:hAnsi="宋体" w:cs="Times New Roman"/>
                <w:sz w:val="20"/>
                <w:szCs w:val="20"/>
              </w:rPr>
              <w:t>.5计划生育临床技术服务</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1.5.1放、取宫内节育器等项目</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人次</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2</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按计划生育临床技术服务的相关规定执行。</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妇幼卫生年报</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按照当年开展例数统计。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jc w:val="center"/>
        </w:trPr>
        <w:tc>
          <w:tcPr>
            <w:tcW w:w="1087" w:type="dxa"/>
            <w:vMerge w:val="restart"/>
            <w:tcBorders>
              <w:top w:val="single" w:color="000000" w:sz="8" w:space="0"/>
              <w:left w:val="single" w:color="000000" w:sz="8" w:space="0"/>
              <w:right w:val="single" w:color="000000" w:sz="8" w:space="0"/>
            </w:tcBorders>
            <w:vAlign w:val="center"/>
          </w:tcPr>
          <w:p>
            <w:pPr>
              <w:snapToGrid w:val="0"/>
              <w:jc w:val="center"/>
              <w:rPr>
                <w:rFonts w:ascii="宋体" w:hAnsi="宋体" w:cs="Times New Roman"/>
                <w:b/>
                <w:bCs/>
                <w:sz w:val="20"/>
                <w:szCs w:val="20"/>
              </w:rPr>
            </w:pPr>
            <w:r>
              <w:rPr>
                <w:rFonts w:ascii="宋体" w:hAnsi="宋体" w:cs="Times New Roman"/>
                <w:b/>
                <w:bCs/>
                <w:sz w:val="20"/>
                <w:szCs w:val="20"/>
              </w:rPr>
              <w:t>2.</w:t>
            </w:r>
            <w:r>
              <w:rPr>
                <w:rFonts w:hint="eastAsia" w:ascii="宋体" w:hAnsi="宋体" w:cs="Times New Roman"/>
                <w:b/>
                <w:bCs/>
                <w:sz w:val="20"/>
                <w:szCs w:val="20"/>
              </w:rPr>
              <w:t>基本公共卫生</w:t>
            </w:r>
          </w:p>
        </w:tc>
        <w:tc>
          <w:tcPr>
            <w:tcW w:w="1024" w:type="dxa"/>
            <w:vMerge w:val="restart"/>
            <w:tcBorders>
              <w:top w:val="single" w:color="000000" w:sz="8" w:space="0"/>
              <w:left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2.1</w:t>
            </w:r>
            <w:r>
              <w:rPr>
                <w:rFonts w:hint="eastAsia" w:ascii="宋体" w:hAnsi="宋体" w:cs="Times New Roman"/>
                <w:sz w:val="20"/>
                <w:szCs w:val="20"/>
              </w:rPr>
              <w:t>健康档案</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2.1.1</w:t>
            </w:r>
            <w:r>
              <w:rPr>
                <w:rFonts w:hint="eastAsia" w:ascii="宋体" w:hAnsi="宋体" w:cs="Times New Roman"/>
                <w:sz w:val="20"/>
                <w:szCs w:val="20"/>
              </w:rPr>
              <w:t>新建健康档案</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份</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3</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通过就诊、体检、入户调查等方式新建档案，内容包括：个人基本情况、健康体检、健康评价、重点人群健康管理记录和其他医疗卫生服务记录。</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健康档案系统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按照当年新建健康档案记录统计，根据网格地址来区分建档单位。结合往年报表，按实际新增合格建档数计算。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7"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cs="Times New Roman"/>
                <w:b/>
                <w:bCs/>
                <w:sz w:val="20"/>
                <w:szCs w:val="20"/>
              </w:rPr>
            </w:pPr>
          </w:p>
        </w:tc>
        <w:tc>
          <w:tcPr>
            <w:tcW w:w="1024" w:type="dxa"/>
            <w:vMerge w:val="continue"/>
            <w:tcBorders>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hint="eastAsia" w:ascii="宋体" w:hAnsi="宋体" w:cs="Times New Roman"/>
                <w:sz w:val="20"/>
                <w:szCs w:val="20"/>
              </w:rPr>
            </w:pPr>
            <w:r>
              <w:rPr>
                <w:rFonts w:ascii="宋体" w:hAnsi="宋体" w:cs="Times New Roman"/>
                <w:sz w:val="20"/>
                <w:szCs w:val="20"/>
              </w:rPr>
              <w:t>2.1.2</w:t>
            </w:r>
            <w:r>
              <w:rPr>
                <w:rFonts w:hint="eastAsia" w:ascii="宋体" w:hAnsi="宋体" w:cs="Times New Roman"/>
                <w:sz w:val="20"/>
                <w:szCs w:val="20"/>
              </w:rPr>
              <w:t>健康档案动态</w:t>
            </w:r>
          </w:p>
          <w:p>
            <w:pPr>
              <w:snapToGrid w:val="0"/>
              <w:jc w:val="center"/>
              <w:rPr>
                <w:rFonts w:ascii="宋体" w:hAnsi="宋体" w:cs="Times New Roman"/>
                <w:sz w:val="20"/>
                <w:szCs w:val="20"/>
              </w:rPr>
            </w:pPr>
            <w:r>
              <w:rPr>
                <w:rFonts w:ascii="宋体" w:hAnsi="宋体" w:cs="Times New Roman"/>
                <w:sz w:val="20"/>
                <w:szCs w:val="20"/>
              </w:rPr>
              <w:t>使用</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份</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0.2</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ascii="宋体" w:hAnsi="宋体" w:cs="Times New Roman"/>
                <w:sz w:val="20"/>
                <w:szCs w:val="20"/>
              </w:rPr>
              <w:t>根据档案记录，核查年度内（考核当年度）与患者的医疗记录相关关联和（或）有符合对应服务规范要求的相关服务记录情况，包括诊疗、健康宣传、体检（建档体检除外）、随访。</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健康档案系统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按照动态健康档案数统计，除去不合格档案（身份证错误，体检表必填项空项或错项</w:t>
            </w:r>
            <w:r>
              <w:rPr>
                <w:rFonts w:ascii="宋体" w:hAnsi="宋体" w:cs="Times New Roman"/>
                <w:sz w:val="20"/>
                <w:szCs w:val="20"/>
              </w:rPr>
              <w:t>≥3</w:t>
            </w:r>
            <w:r>
              <w:rPr>
                <w:rFonts w:hint="eastAsia" w:ascii="宋体" w:hAnsi="宋体" w:cs="Times New Roman"/>
                <w:sz w:val="20"/>
                <w:szCs w:val="20"/>
              </w:rPr>
              <w:t>项等）。可根据动态使用档案份数*动态使用档案抽查合格率计算。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9"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cs="Times New Roman"/>
                <w:b/>
                <w:bCs/>
                <w:sz w:val="20"/>
                <w:szCs w:val="20"/>
              </w:rPr>
            </w:pPr>
          </w:p>
        </w:tc>
        <w:tc>
          <w:tcPr>
            <w:tcW w:w="1024" w:type="dxa"/>
            <w:vMerge w:val="restart"/>
            <w:tcBorders>
              <w:top w:val="single" w:color="000000" w:sz="8" w:space="0"/>
              <w:left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2.2</w:t>
            </w:r>
            <w:r>
              <w:rPr>
                <w:rFonts w:hint="eastAsia" w:ascii="宋体" w:hAnsi="宋体" w:cs="Times New Roman"/>
                <w:sz w:val="20"/>
                <w:szCs w:val="20"/>
              </w:rPr>
              <w:t>预防接种</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2.2.1</w:t>
            </w:r>
            <w:r>
              <w:rPr>
                <w:rFonts w:hint="eastAsia" w:ascii="宋体" w:hAnsi="宋体" w:cs="Times New Roman"/>
                <w:sz w:val="20"/>
                <w:szCs w:val="20"/>
              </w:rPr>
              <w:t>预防接种</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针次</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1.5</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按要求开展预防接种服务，包括通知、预检、登记（核实、告知）、接种、留观和统计；每次完成接种后，将接种日期、接种部位、疫苗批号、接种单位、接种医生等内容登记到儿童预防接种卡中，并录入预防接种管理系统；定期开展辖区流动儿童摸底调查，及时进行补证和</w:t>
            </w:r>
            <w:r>
              <w:rPr>
                <w:rFonts w:ascii="宋体" w:hAnsi="宋体" w:cs="Times New Roman"/>
                <w:sz w:val="20"/>
                <w:szCs w:val="20"/>
              </w:rPr>
              <w:t>/</w:t>
            </w:r>
            <w:r>
              <w:rPr>
                <w:rFonts w:hint="eastAsia" w:ascii="宋体" w:hAnsi="宋体" w:cs="Times New Roman"/>
                <w:sz w:val="20"/>
                <w:szCs w:val="20"/>
              </w:rPr>
              <w:t>或补种；开展疑似预防接种异常反应处置，包括及时上报、一般反应处理和协助调查诊断等。</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预防接种管理系统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按照当年所有一类疫苗接种记录统计。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cs="Times New Roman"/>
                <w:b/>
                <w:bCs/>
                <w:sz w:val="20"/>
                <w:szCs w:val="20"/>
              </w:rPr>
            </w:pPr>
          </w:p>
        </w:tc>
        <w:tc>
          <w:tcPr>
            <w:tcW w:w="1024" w:type="dxa"/>
            <w:vMerge w:val="continue"/>
            <w:tcBorders>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2.2.2</w:t>
            </w:r>
            <w:r>
              <w:rPr>
                <w:rFonts w:hint="eastAsia" w:ascii="宋体" w:hAnsi="宋体" w:cs="Times New Roman"/>
                <w:sz w:val="20"/>
                <w:szCs w:val="20"/>
              </w:rPr>
              <w:t>预防接种建卡</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人</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0.5</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为辖区内居住满</w:t>
            </w:r>
            <w:r>
              <w:rPr>
                <w:rFonts w:ascii="宋体" w:hAnsi="宋体" w:cs="Times New Roman"/>
                <w:sz w:val="20"/>
                <w:szCs w:val="20"/>
              </w:rPr>
              <w:t>3</w:t>
            </w:r>
            <w:r>
              <w:rPr>
                <w:rFonts w:hint="eastAsia" w:ascii="宋体" w:hAnsi="宋体" w:cs="Times New Roman"/>
                <w:sz w:val="20"/>
                <w:szCs w:val="20"/>
              </w:rPr>
              <w:t>个月</w:t>
            </w:r>
            <w:r>
              <w:rPr>
                <w:rFonts w:ascii="宋体" w:hAnsi="宋体" w:cs="Times New Roman"/>
                <w:sz w:val="20"/>
                <w:szCs w:val="20"/>
              </w:rPr>
              <w:t>0-6</w:t>
            </w:r>
            <w:r>
              <w:rPr>
                <w:rFonts w:hint="eastAsia" w:ascii="宋体" w:hAnsi="宋体" w:cs="Times New Roman"/>
                <w:sz w:val="20"/>
                <w:szCs w:val="20"/>
              </w:rPr>
              <w:t>岁儿童建立预防接种证</w:t>
            </w:r>
            <w:r>
              <w:rPr>
                <w:rFonts w:ascii="宋体" w:hAnsi="宋体" w:cs="Times New Roman"/>
                <w:sz w:val="20"/>
                <w:szCs w:val="20"/>
              </w:rPr>
              <w:t>/</w:t>
            </w:r>
            <w:r>
              <w:rPr>
                <w:rFonts w:hint="eastAsia" w:ascii="宋体" w:hAnsi="宋体" w:cs="Times New Roman"/>
                <w:sz w:val="20"/>
                <w:szCs w:val="20"/>
              </w:rPr>
              <w:t>卡，每半年对辖区接种卡进行一次核查整理。</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预防接种系统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按照当年新建立的儿童预防接种档案统计。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cs="Times New Roman"/>
                <w:b/>
                <w:bCs/>
                <w:sz w:val="20"/>
                <w:szCs w:val="20"/>
              </w:rPr>
            </w:pPr>
          </w:p>
        </w:tc>
        <w:tc>
          <w:tcPr>
            <w:tcW w:w="1024" w:type="dxa"/>
            <w:vMerge w:val="restart"/>
            <w:tcBorders>
              <w:top w:val="single" w:color="000000" w:sz="8" w:space="0"/>
              <w:left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2.3</w:t>
            </w:r>
            <w:r>
              <w:rPr>
                <w:rFonts w:hint="eastAsia" w:ascii="宋体" w:hAnsi="宋体" w:cs="Times New Roman"/>
                <w:sz w:val="20"/>
                <w:szCs w:val="20"/>
              </w:rPr>
              <w:t>儿童保健</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2.3.1</w:t>
            </w:r>
            <w:r>
              <w:rPr>
                <w:rFonts w:hint="eastAsia" w:ascii="宋体" w:hAnsi="宋体" w:cs="Times New Roman"/>
                <w:sz w:val="20"/>
                <w:szCs w:val="20"/>
              </w:rPr>
              <w:t>新生儿上门访视</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人</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3</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上门家庭访视，了解出生情况、预防接种、新生儿疾病筛查情况，询问观察喂养、睡眠、大小便、黄疸、脐部等情况，进行测量体温、心肺听诊、腹部触诊等检查，给予健康指导，记入婴幼儿保健册，录入儿童保健信息系统。</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妇幼保健信息系统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按照当年新生儿访视记录表统计。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cs="Times New Roman"/>
                <w:b/>
                <w:bCs/>
                <w:sz w:val="20"/>
                <w:szCs w:val="20"/>
              </w:rPr>
            </w:pPr>
          </w:p>
        </w:tc>
        <w:tc>
          <w:tcPr>
            <w:tcW w:w="1024" w:type="dxa"/>
            <w:vMerge w:val="continue"/>
            <w:tcBorders>
              <w:left w:val="single" w:color="000000" w:sz="8" w:space="0"/>
              <w:right w:val="single" w:color="000000" w:sz="8" w:space="0"/>
            </w:tcBorders>
            <w:vAlign w:val="center"/>
          </w:tcPr>
          <w:p>
            <w:pPr>
              <w:snapToGrid w:val="0"/>
              <w:jc w:val="center"/>
              <w:rPr>
                <w:rFonts w:ascii="宋体" w:hAnsi="宋体" w:cs="Times New Roman"/>
                <w:sz w:val="20"/>
                <w:szCs w:val="20"/>
              </w:rPr>
            </w:pP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2.3.2</w:t>
            </w:r>
            <w:r>
              <w:rPr>
                <w:rFonts w:hint="eastAsia" w:ascii="宋体" w:hAnsi="宋体" w:cs="Times New Roman"/>
                <w:sz w:val="20"/>
                <w:szCs w:val="20"/>
              </w:rPr>
              <w:t>新生儿保健建册</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人</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0.5</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对满月新生儿建立儿童保健册，进行问诊、体格检查、发育评估，给予健康指导，并记入婴幼儿保健册，录入儿童保健信息系统。</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妇幼保健信息系统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按照当年新建立的婴幼儿保健档案统计。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7" w:type="dxa"/>
            <w:vMerge w:val="restart"/>
            <w:tcBorders>
              <w:left w:val="single" w:color="000000" w:sz="8" w:space="0"/>
              <w:right w:val="single" w:color="000000" w:sz="8" w:space="0"/>
            </w:tcBorders>
            <w:vAlign w:val="center"/>
          </w:tcPr>
          <w:p>
            <w:pPr>
              <w:snapToGrid w:val="0"/>
              <w:jc w:val="center"/>
              <w:rPr>
                <w:rFonts w:ascii="宋体" w:hAnsi="宋体" w:cs="Times New Roman"/>
                <w:b/>
                <w:bCs/>
                <w:sz w:val="20"/>
                <w:szCs w:val="20"/>
              </w:rPr>
            </w:pPr>
            <w:r>
              <w:rPr>
                <w:rFonts w:ascii="宋体" w:hAnsi="宋体" w:cs="Times New Roman"/>
                <w:b/>
                <w:bCs/>
                <w:sz w:val="20"/>
                <w:szCs w:val="20"/>
              </w:rPr>
              <w:t>2.</w:t>
            </w:r>
            <w:r>
              <w:rPr>
                <w:rFonts w:hint="eastAsia" w:ascii="宋体" w:hAnsi="宋体" w:cs="Times New Roman"/>
                <w:b/>
                <w:bCs/>
                <w:sz w:val="20"/>
                <w:szCs w:val="20"/>
              </w:rPr>
              <w:t>基本公共卫生</w:t>
            </w:r>
          </w:p>
        </w:tc>
        <w:tc>
          <w:tcPr>
            <w:tcW w:w="1024" w:type="dxa"/>
            <w:vMerge w:val="restart"/>
            <w:tcBorders>
              <w:left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2.3</w:t>
            </w:r>
            <w:r>
              <w:rPr>
                <w:rFonts w:hint="eastAsia" w:ascii="宋体" w:hAnsi="宋体" w:cs="Times New Roman"/>
                <w:sz w:val="20"/>
                <w:szCs w:val="20"/>
              </w:rPr>
              <w:t>儿童保健</w:t>
            </w:r>
          </w:p>
        </w:tc>
        <w:tc>
          <w:tcPr>
            <w:tcW w:w="1238" w:type="dxa"/>
            <w:tcBorders>
              <w:top w:val="single" w:color="000000" w:sz="8" w:space="0"/>
              <w:left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2.3.3 0-3</w:t>
            </w:r>
            <w:r>
              <w:rPr>
                <w:rFonts w:hint="eastAsia" w:ascii="宋体" w:hAnsi="宋体" w:cs="Times New Roman"/>
                <w:sz w:val="20"/>
                <w:szCs w:val="20"/>
              </w:rPr>
              <w:t>岁儿童健康管理</w:t>
            </w:r>
          </w:p>
        </w:tc>
        <w:tc>
          <w:tcPr>
            <w:tcW w:w="857" w:type="dxa"/>
            <w:tcBorders>
              <w:top w:val="single" w:color="000000" w:sz="8" w:space="0"/>
              <w:left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人次</w:t>
            </w:r>
          </w:p>
        </w:tc>
        <w:tc>
          <w:tcPr>
            <w:tcW w:w="720" w:type="dxa"/>
            <w:tcBorders>
              <w:top w:val="single" w:color="000000" w:sz="8" w:space="0"/>
              <w:left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2.5</w:t>
            </w:r>
          </w:p>
        </w:tc>
        <w:tc>
          <w:tcPr>
            <w:tcW w:w="894" w:type="dxa"/>
            <w:tcBorders>
              <w:top w:val="single" w:color="000000" w:sz="8" w:space="0"/>
              <w:left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w:t>
            </w:r>
          </w:p>
        </w:tc>
        <w:tc>
          <w:tcPr>
            <w:tcW w:w="4347" w:type="dxa"/>
            <w:tcBorders>
              <w:top w:val="single" w:color="000000" w:sz="8" w:space="0"/>
              <w:left w:val="single" w:color="000000" w:sz="8" w:space="0"/>
              <w:right w:val="single" w:color="000000" w:sz="8" w:space="0"/>
            </w:tcBorders>
            <w:vAlign w:val="center"/>
          </w:tcPr>
          <w:p>
            <w:pPr>
              <w:snapToGrid w:val="0"/>
              <w:rPr>
                <w:rFonts w:ascii="宋体" w:hAnsi="宋体" w:cs="Times New Roman"/>
                <w:sz w:val="20"/>
                <w:szCs w:val="20"/>
              </w:rPr>
            </w:pPr>
            <w:r>
              <w:rPr>
                <w:rFonts w:ascii="宋体" w:hAnsi="宋体" w:cs="Times New Roman"/>
                <w:sz w:val="20"/>
                <w:szCs w:val="20"/>
              </w:rPr>
              <w:t>3</w:t>
            </w:r>
            <w:r>
              <w:rPr>
                <w:rFonts w:hint="eastAsia" w:ascii="宋体" w:hAnsi="宋体" w:cs="Times New Roman"/>
                <w:sz w:val="20"/>
                <w:szCs w:val="20"/>
              </w:rPr>
              <w:t>、</w:t>
            </w:r>
            <w:r>
              <w:rPr>
                <w:rFonts w:ascii="宋体" w:hAnsi="宋体" w:cs="Times New Roman"/>
                <w:sz w:val="20"/>
                <w:szCs w:val="20"/>
              </w:rPr>
              <w:t>6</w:t>
            </w:r>
            <w:r>
              <w:rPr>
                <w:rFonts w:hint="eastAsia" w:ascii="宋体" w:hAnsi="宋体" w:cs="Times New Roman"/>
                <w:sz w:val="20"/>
                <w:szCs w:val="20"/>
              </w:rPr>
              <w:t>、</w:t>
            </w:r>
            <w:r>
              <w:rPr>
                <w:rFonts w:ascii="宋体" w:hAnsi="宋体" w:cs="Times New Roman"/>
                <w:sz w:val="20"/>
                <w:szCs w:val="20"/>
              </w:rPr>
              <w:t>8</w:t>
            </w:r>
            <w:r>
              <w:rPr>
                <w:rFonts w:hint="eastAsia" w:ascii="宋体" w:hAnsi="宋体" w:cs="Times New Roman"/>
                <w:sz w:val="20"/>
                <w:szCs w:val="20"/>
              </w:rPr>
              <w:t>、</w:t>
            </w:r>
            <w:r>
              <w:rPr>
                <w:rFonts w:ascii="宋体" w:hAnsi="宋体" w:cs="Times New Roman"/>
                <w:sz w:val="20"/>
                <w:szCs w:val="20"/>
              </w:rPr>
              <w:t>12</w:t>
            </w:r>
            <w:r>
              <w:rPr>
                <w:rFonts w:hint="eastAsia" w:ascii="宋体" w:hAnsi="宋体" w:cs="Times New Roman"/>
                <w:sz w:val="20"/>
                <w:szCs w:val="20"/>
              </w:rPr>
              <w:t>、</w:t>
            </w:r>
            <w:r>
              <w:rPr>
                <w:rFonts w:ascii="宋体" w:hAnsi="宋体" w:cs="Times New Roman"/>
                <w:sz w:val="20"/>
                <w:szCs w:val="20"/>
              </w:rPr>
              <w:t>18</w:t>
            </w:r>
            <w:r>
              <w:rPr>
                <w:rFonts w:hint="eastAsia" w:ascii="宋体" w:hAnsi="宋体" w:cs="Times New Roman"/>
                <w:sz w:val="20"/>
                <w:szCs w:val="20"/>
              </w:rPr>
              <w:t>、</w:t>
            </w:r>
            <w:r>
              <w:rPr>
                <w:rFonts w:ascii="宋体" w:hAnsi="宋体" w:cs="Times New Roman"/>
                <w:sz w:val="20"/>
                <w:szCs w:val="20"/>
              </w:rPr>
              <w:t>24</w:t>
            </w:r>
            <w:r>
              <w:rPr>
                <w:rFonts w:hint="eastAsia" w:ascii="宋体" w:hAnsi="宋体" w:cs="Times New Roman"/>
                <w:sz w:val="20"/>
                <w:szCs w:val="20"/>
              </w:rPr>
              <w:t>、</w:t>
            </w:r>
            <w:r>
              <w:rPr>
                <w:rFonts w:ascii="宋体" w:hAnsi="宋体" w:cs="Times New Roman"/>
                <w:sz w:val="20"/>
                <w:szCs w:val="20"/>
              </w:rPr>
              <w:t>30</w:t>
            </w:r>
            <w:r>
              <w:rPr>
                <w:rFonts w:hint="eastAsia" w:ascii="宋体" w:hAnsi="宋体" w:cs="Times New Roman"/>
                <w:sz w:val="20"/>
                <w:szCs w:val="20"/>
              </w:rPr>
              <w:t>、</w:t>
            </w:r>
            <w:r>
              <w:rPr>
                <w:rFonts w:ascii="宋体" w:hAnsi="宋体" w:cs="Times New Roman"/>
                <w:sz w:val="20"/>
                <w:szCs w:val="20"/>
              </w:rPr>
              <w:t>36</w:t>
            </w:r>
            <w:r>
              <w:rPr>
                <w:rFonts w:hint="eastAsia" w:ascii="宋体" w:hAnsi="宋体" w:cs="Times New Roman"/>
                <w:sz w:val="20"/>
                <w:szCs w:val="20"/>
              </w:rPr>
              <w:t>月龄各</w:t>
            </w:r>
            <w:r>
              <w:rPr>
                <w:rFonts w:ascii="宋体" w:hAnsi="宋体" w:cs="Times New Roman"/>
                <w:sz w:val="20"/>
                <w:szCs w:val="20"/>
              </w:rPr>
              <w:t>1</w:t>
            </w:r>
            <w:r>
              <w:rPr>
                <w:rFonts w:hint="eastAsia" w:ascii="宋体" w:hAnsi="宋体" w:cs="Times New Roman"/>
                <w:sz w:val="20"/>
                <w:szCs w:val="20"/>
              </w:rPr>
              <w:t>次。询问喂养、患病等情况，进行体格检查及发育评估，给予健康指导，</w:t>
            </w:r>
            <w:r>
              <w:rPr>
                <w:rFonts w:ascii="宋体" w:hAnsi="宋体" w:cs="Times New Roman"/>
                <w:sz w:val="20"/>
                <w:szCs w:val="20"/>
              </w:rPr>
              <w:t>6-8</w:t>
            </w:r>
            <w:r>
              <w:rPr>
                <w:rFonts w:hint="eastAsia" w:ascii="宋体" w:hAnsi="宋体" w:cs="Times New Roman"/>
                <w:sz w:val="20"/>
                <w:szCs w:val="20"/>
              </w:rPr>
              <w:t>、</w:t>
            </w:r>
            <w:r>
              <w:rPr>
                <w:rFonts w:ascii="宋体" w:hAnsi="宋体" w:cs="Times New Roman"/>
                <w:sz w:val="20"/>
                <w:szCs w:val="20"/>
              </w:rPr>
              <w:t>18</w:t>
            </w:r>
            <w:r>
              <w:rPr>
                <w:rFonts w:hint="eastAsia" w:ascii="宋体" w:hAnsi="宋体" w:cs="Times New Roman"/>
                <w:sz w:val="20"/>
                <w:szCs w:val="20"/>
              </w:rPr>
              <w:t>、</w:t>
            </w:r>
            <w:r>
              <w:rPr>
                <w:rFonts w:ascii="宋体" w:hAnsi="宋体" w:cs="Times New Roman"/>
                <w:sz w:val="20"/>
                <w:szCs w:val="20"/>
              </w:rPr>
              <w:t>30</w:t>
            </w:r>
            <w:r>
              <w:rPr>
                <w:rFonts w:hint="eastAsia" w:ascii="宋体" w:hAnsi="宋体" w:cs="Times New Roman"/>
                <w:sz w:val="20"/>
                <w:szCs w:val="20"/>
              </w:rPr>
              <w:t>月龄各进行</w:t>
            </w:r>
            <w:r>
              <w:rPr>
                <w:rFonts w:ascii="宋体" w:hAnsi="宋体" w:cs="Times New Roman"/>
                <w:sz w:val="20"/>
                <w:szCs w:val="20"/>
              </w:rPr>
              <w:t>1</w:t>
            </w:r>
            <w:r>
              <w:rPr>
                <w:rFonts w:hint="eastAsia" w:ascii="宋体" w:hAnsi="宋体" w:cs="Times New Roman"/>
                <w:sz w:val="20"/>
                <w:szCs w:val="20"/>
              </w:rPr>
              <w:t>次血常规检测，</w:t>
            </w:r>
            <w:r>
              <w:rPr>
                <w:rFonts w:ascii="宋体" w:hAnsi="宋体" w:cs="Times New Roman"/>
                <w:sz w:val="20"/>
                <w:szCs w:val="20"/>
              </w:rPr>
              <w:t>6</w:t>
            </w:r>
            <w:r>
              <w:rPr>
                <w:rFonts w:hint="eastAsia" w:ascii="宋体" w:hAnsi="宋体" w:cs="Times New Roman"/>
                <w:sz w:val="20"/>
                <w:szCs w:val="20"/>
              </w:rPr>
              <w:t>、</w:t>
            </w:r>
            <w:r>
              <w:rPr>
                <w:rFonts w:ascii="宋体" w:hAnsi="宋体" w:cs="Times New Roman"/>
                <w:sz w:val="20"/>
                <w:szCs w:val="20"/>
              </w:rPr>
              <w:t>12</w:t>
            </w:r>
            <w:r>
              <w:rPr>
                <w:rFonts w:hint="eastAsia" w:ascii="宋体" w:hAnsi="宋体" w:cs="Times New Roman"/>
                <w:sz w:val="20"/>
                <w:szCs w:val="20"/>
              </w:rPr>
              <w:t>、</w:t>
            </w:r>
            <w:r>
              <w:rPr>
                <w:rFonts w:ascii="宋体" w:hAnsi="宋体" w:cs="Times New Roman"/>
                <w:sz w:val="20"/>
                <w:szCs w:val="20"/>
              </w:rPr>
              <w:t>24</w:t>
            </w:r>
            <w:r>
              <w:rPr>
                <w:rFonts w:hint="eastAsia" w:ascii="宋体" w:hAnsi="宋体" w:cs="Times New Roman"/>
                <w:sz w:val="20"/>
                <w:szCs w:val="20"/>
              </w:rPr>
              <w:t>、</w:t>
            </w:r>
            <w:r>
              <w:rPr>
                <w:rFonts w:ascii="宋体" w:hAnsi="宋体" w:cs="Times New Roman"/>
                <w:sz w:val="20"/>
                <w:szCs w:val="20"/>
              </w:rPr>
              <w:t>36</w:t>
            </w:r>
            <w:r>
              <w:rPr>
                <w:rFonts w:hint="eastAsia" w:ascii="宋体" w:hAnsi="宋体" w:cs="Times New Roman"/>
                <w:sz w:val="20"/>
                <w:szCs w:val="20"/>
              </w:rPr>
              <w:t>月龄采用行为测听法进行听力筛查，并记入婴幼儿保健册，录入儿童保健信息系统。</w:t>
            </w:r>
          </w:p>
        </w:tc>
        <w:tc>
          <w:tcPr>
            <w:tcW w:w="1199" w:type="dxa"/>
            <w:tcBorders>
              <w:top w:val="single" w:color="000000" w:sz="8" w:space="0"/>
              <w:left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妇幼保健信息系统</w:t>
            </w:r>
          </w:p>
        </w:tc>
        <w:tc>
          <w:tcPr>
            <w:tcW w:w="3024" w:type="dxa"/>
            <w:tcBorders>
              <w:top w:val="single" w:color="000000" w:sz="8" w:space="0"/>
              <w:left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按照当年</w:t>
            </w:r>
            <w:r>
              <w:rPr>
                <w:rFonts w:ascii="宋体" w:hAnsi="宋体" w:cs="Times New Roman"/>
                <w:sz w:val="20"/>
                <w:szCs w:val="20"/>
              </w:rPr>
              <w:t>0-3</w:t>
            </w:r>
            <w:r>
              <w:rPr>
                <w:rFonts w:hint="eastAsia" w:ascii="宋体" w:hAnsi="宋体" w:cs="Times New Roman"/>
                <w:sz w:val="20"/>
                <w:szCs w:val="20"/>
              </w:rPr>
              <w:t>岁儿童健康检查记录的次数统计。人次数以</w:t>
            </w:r>
            <w:r>
              <w:rPr>
                <w:rFonts w:ascii="宋体" w:hAnsi="宋体" w:cs="Times New Roman"/>
                <w:sz w:val="20"/>
                <w:szCs w:val="20"/>
              </w:rPr>
              <w:t>0</w:t>
            </w:r>
            <w:r>
              <w:rPr>
                <w:rFonts w:hint="eastAsia" w:ascii="宋体" w:hAnsi="宋体" w:cs="Times New Roman"/>
                <w:sz w:val="20"/>
                <w:szCs w:val="20"/>
              </w:rPr>
              <w:t>岁组人数</w:t>
            </w:r>
            <w:r>
              <w:rPr>
                <w:rFonts w:ascii="宋体" w:hAnsi="宋体" w:cs="Times New Roman"/>
                <w:sz w:val="20"/>
                <w:szCs w:val="20"/>
              </w:rPr>
              <w:t>×4</w:t>
            </w:r>
            <w:r>
              <w:rPr>
                <w:rFonts w:hint="eastAsia" w:ascii="宋体" w:hAnsi="宋体" w:cs="Times New Roman"/>
                <w:sz w:val="20"/>
                <w:szCs w:val="20"/>
              </w:rPr>
              <w:t>次；</w:t>
            </w:r>
            <w:r>
              <w:rPr>
                <w:rFonts w:ascii="宋体" w:hAnsi="宋体" w:cs="Times New Roman"/>
                <w:sz w:val="20"/>
                <w:szCs w:val="20"/>
              </w:rPr>
              <w:t>1-2</w:t>
            </w:r>
            <w:r>
              <w:rPr>
                <w:rFonts w:hint="eastAsia" w:ascii="宋体" w:hAnsi="宋体" w:cs="Times New Roman"/>
                <w:sz w:val="20"/>
                <w:szCs w:val="20"/>
              </w:rPr>
              <w:t>岁组人数</w:t>
            </w:r>
            <w:r>
              <w:rPr>
                <w:rFonts w:ascii="宋体" w:hAnsi="宋体" w:cs="Times New Roman"/>
                <w:sz w:val="20"/>
                <w:szCs w:val="20"/>
              </w:rPr>
              <w:t>×2</w:t>
            </w:r>
            <w:r>
              <w:rPr>
                <w:rFonts w:hint="eastAsia" w:ascii="宋体" w:hAnsi="宋体" w:cs="Times New Roman"/>
                <w:sz w:val="20"/>
                <w:szCs w:val="20"/>
              </w:rPr>
              <w:t>次；</w:t>
            </w:r>
            <w:r>
              <w:rPr>
                <w:rFonts w:ascii="宋体" w:hAnsi="宋体" w:cs="Times New Roman"/>
                <w:sz w:val="20"/>
                <w:szCs w:val="20"/>
              </w:rPr>
              <w:t>3</w:t>
            </w:r>
            <w:r>
              <w:rPr>
                <w:rFonts w:hint="eastAsia" w:ascii="宋体" w:hAnsi="宋体" w:cs="Times New Roman"/>
                <w:sz w:val="20"/>
                <w:szCs w:val="20"/>
              </w:rPr>
              <w:t>岁组人数</w:t>
            </w:r>
            <w:r>
              <w:rPr>
                <w:rFonts w:ascii="宋体" w:hAnsi="宋体" w:cs="Times New Roman"/>
                <w:sz w:val="20"/>
                <w:szCs w:val="20"/>
              </w:rPr>
              <w:t>×1</w:t>
            </w:r>
            <w:r>
              <w:rPr>
                <w:rFonts w:hint="eastAsia" w:ascii="宋体" w:hAnsi="宋体" w:cs="Times New Roman"/>
                <w:sz w:val="20"/>
                <w:szCs w:val="20"/>
              </w:rPr>
              <w:t>次计算为限。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cs="Times New Roman"/>
                <w:b/>
                <w:bCs/>
                <w:sz w:val="20"/>
                <w:szCs w:val="20"/>
              </w:rPr>
            </w:pPr>
          </w:p>
        </w:tc>
        <w:tc>
          <w:tcPr>
            <w:tcW w:w="1024" w:type="dxa"/>
            <w:vMerge w:val="continue"/>
            <w:tcBorders>
              <w:left w:val="single" w:color="000000" w:sz="8" w:space="0"/>
              <w:right w:val="single" w:color="000000" w:sz="8" w:space="0"/>
            </w:tcBorders>
            <w:vAlign w:val="center"/>
          </w:tcPr>
          <w:p>
            <w:pPr>
              <w:snapToGrid w:val="0"/>
              <w:jc w:val="center"/>
              <w:rPr>
                <w:rFonts w:ascii="宋体" w:hAnsi="宋体" w:cs="Times New Roman"/>
                <w:sz w:val="20"/>
                <w:szCs w:val="20"/>
              </w:rPr>
            </w:pP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2.3.4 4-6</w:t>
            </w:r>
            <w:r>
              <w:rPr>
                <w:rFonts w:hint="eastAsia" w:ascii="宋体" w:hAnsi="宋体" w:cs="Times New Roman"/>
                <w:sz w:val="20"/>
                <w:szCs w:val="20"/>
              </w:rPr>
              <w:t>岁儿童健康管理</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人</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每年</w:t>
            </w:r>
            <w:r>
              <w:rPr>
                <w:rFonts w:ascii="宋体" w:hAnsi="宋体" w:cs="Times New Roman"/>
                <w:sz w:val="20"/>
                <w:szCs w:val="20"/>
              </w:rPr>
              <w:t>1</w:t>
            </w:r>
            <w:r>
              <w:rPr>
                <w:rFonts w:hint="eastAsia" w:ascii="宋体" w:hAnsi="宋体" w:cs="Times New Roman"/>
                <w:sz w:val="20"/>
                <w:szCs w:val="20"/>
              </w:rPr>
              <w:t>次。询问膳食、患病等情况，进行体格检查、血常规检测、视力筛查及发育评估，给予健康指导，并记入儿童保健册，录入儿童保健信息系统。</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妇幼保健信息系统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按照当年</w:t>
            </w:r>
            <w:r>
              <w:rPr>
                <w:rFonts w:ascii="宋体" w:hAnsi="宋体" w:cs="Times New Roman"/>
                <w:sz w:val="20"/>
                <w:szCs w:val="20"/>
              </w:rPr>
              <w:t>4-6</w:t>
            </w:r>
            <w:r>
              <w:rPr>
                <w:rFonts w:hint="eastAsia" w:ascii="宋体" w:hAnsi="宋体" w:cs="Times New Roman"/>
                <w:sz w:val="20"/>
                <w:szCs w:val="20"/>
              </w:rPr>
              <w:t>岁儿童健康检查记录统计，以每年龄组</w:t>
            </w:r>
            <w:r>
              <w:rPr>
                <w:rFonts w:ascii="宋体" w:hAnsi="宋体" w:cs="Times New Roman"/>
                <w:sz w:val="20"/>
                <w:szCs w:val="20"/>
              </w:rPr>
              <w:t>1</w:t>
            </w:r>
            <w:r>
              <w:rPr>
                <w:rFonts w:hint="eastAsia" w:ascii="宋体" w:hAnsi="宋体" w:cs="Times New Roman"/>
                <w:sz w:val="20"/>
                <w:szCs w:val="20"/>
              </w:rPr>
              <w:t>次为限。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cs="Times New Roman"/>
                <w:b/>
                <w:bCs/>
                <w:sz w:val="20"/>
                <w:szCs w:val="20"/>
              </w:rPr>
            </w:pPr>
          </w:p>
        </w:tc>
        <w:tc>
          <w:tcPr>
            <w:tcW w:w="1024" w:type="dxa"/>
            <w:vMerge w:val="continue"/>
            <w:tcBorders>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2.3.5</w:t>
            </w:r>
            <w:r>
              <w:rPr>
                <w:rFonts w:hint="eastAsia" w:ascii="宋体" w:hAnsi="宋体" w:cs="Times New Roman"/>
                <w:sz w:val="20"/>
                <w:szCs w:val="20"/>
              </w:rPr>
              <w:t>高危儿、营养性疾病患儿管理</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人次</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筛查出高危儿、营养性疾病患儿，建立管理专案，增加随访次数，给予针对性的干预措施和指导，必要时转上级机构，生长发育正常、症状体征减轻或消失时结案，同时做好记录，录入儿童保健信息系统。</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妇幼保健信息系统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按照当年高危儿营养性疾病患儿随访管理记录的次数统计。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cs="Times New Roman"/>
                <w:b/>
                <w:bCs/>
                <w:sz w:val="20"/>
                <w:szCs w:val="20"/>
              </w:rPr>
            </w:pPr>
          </w:p>
        </w:tc>
        <w:tc>
          <w:tcPr>
            <w:tcW w:w="1024" w:type="dxa"/>
            <w:vMerge w:val="restart"/>
            <w:tcBorders>
              <w:top w:val="single" w:color="000000" w:sz="8" w:space="0"/>
              <w:left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2.4</w:t>
            </w:r>
            <w:r>
              <w:rPr>
                <w:rFonts w:hint="eastAsia" w:ascii="宋体" w:hAnsi="宋体" w:cs="Times New Roman"/>
                <w:sz w:val="20"/>
                <w:szCs w:val="20"/>
              </w:rPr>
              <w:t>孕产妇保健</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2.4.1</w:t>
            </w:r>
            <w:r>
              <w:rPr>
                <w:rFonts w:hint="eastAsia" w:ascii="宋体" w:hAnsi="宋体" w:cs="Times New Roman"/>
                <w:sz w:val="20"/>
                <w:szCs w:val="20"/>
              </w:rPr>
              <w:t>早孕建册</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人</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8</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pacing w:val="-6"/>
                <w:sz w:val="20"/>
                <w:szCs w:val="20"/>
              </w:rPr>
            </w:pPr>
            <w:r>
              <w:rPr>
                <w:rFonts w:hint="eastAsia" w:ascii="宋体" w:hAnsi="宋体" w:cs="Times New Roman"/>
                <w:spacing w:val="-6"/>
                <w:sz w:val="20"/>
                <w:szCs w:val="20"/>
              </w:rPr>
              <w:t>对怀孕妇女在孕</w:t>
            </w:r>
            <w:r>
              <w:rPr>
                <w:rFonts w:ascii="宋体" w:hAnsi="宋体" w:cs="Times New Roman"/>
                <w:spacing w:val="-6"/>
                <w:sz w:val="20"/>
                <w:szCs w:val="20"/>
              </w:rPr>
              <w:t>13</w:t>
            </w:r>
            <w:r>
              <w:rPr>
                <w:rFonts w:hint="eastAsia" w:ascii="宋体" w:hAnsi="宋体" w:cs="Times New Roman"/>
                <w:spacing w:val="-6"/>
                <w:sz w:val="20"/>
                <w:szCs w:val="20"/>
              </w:rPr>
              <w:t>周前建立孕产妇保健册，进行问诊、体检、化验和辅助检查，给予卫生、心理、营养、产前筛查和避免畸胎因素等健康指导，并记入孕产妇保健册，录入孕产妇保健信息系统。</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妇幼保健信息系统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按照当年新建立的孕产妇保健合格档案统计。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cs="Times New Roman"/>
                <w:b/>
                <w:bCs/>
                <w:sz w:val="20"/>
                <w:szCs w:val="20"/>
              </w:rPr>
            </w:pPr>
          </w:p>
        </w:tc>
        <w:tc>
          <w:tcPr>
            <w:tcW w:w="1024" w:type="dxa"/>
            <w:vMerge w:val="continue"/>
            <w:tcBorders>
              <w:left w:val="single" w:color="000000" w:sz="8" w:space="0"/>
              <w:right w:val="single" w:color="000000" w:sz="8" w:space="0"/>
            </w:tcBorders>
            <w:vAlign w:val="center"/>
          </w:tcPr>
          <w:p>
            <w:pPr>
              <w:snapToGrid w:val="0"/>
              <w:jc w:val="center"/>
              <w:rPr>
                <w:rFonts w:ascii="宋体" w:hAnsi="宋体" w:cs="Times New Roman"/>
                <w:sz w:val="20"/>
                <w:szCs w:val="20"/>
              </w:rPr>
            </w:pPr>
          </w:p>
        </w:tc>
        <w:tc>
          <w:tcPr>
            <w:tcW w:w="1238" w:type="dxa"/>
            <w:vMerge w:val="restart"/>
            <w:tcBorders>
              <w:top w:val="single" w:color="000000" w:sz="8" w:space="0"/>
              <w:left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2.4.2</w:t>
            </w:r>
            <w:r>
              <w:rPr>
                <w:rFonts w:hint="eastAsia" w:ascii="宋体" w:hAnsi="宋体" w:cs="Times New Roman"/>
                <w:sz w:val="20"/>
                <w:szCs w:val="20"/>
              </w:rPr>
              <w:t>产前检查</w:t>
            </w:r>
          </w:p>
        </w:tc>
        <w:tc>
          <w:tcPr>
            <w:tcW w:w="857" w:type="dxa"/>
            <w:vMerge w:val="restart"/>
            <w:tcBorders>
              <w:top w:val="single" w:color="000000" w:sz="8" w:space="0"/>
              <w:left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人次</w:t>
            </w:r>
          </w:p>
        </w:tc>
        <w:tc>
          <w:tcPr>
            <w:tcW w:w="720" w:type="dxa"/>
            <w:vMerge w:val="restart"/>
            <w:tcBorders>
              <w:top w:val="single" w:color="000000" w:sz="8" w:space="0"/>
              <w:left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1.5</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w:t>
            </w:r>
          </w:p>
        </w:tc>
        <w:tc>
          <w:tcPr>
            <w:tcW w:w="4347" w:type="dxa"/>
            <w:vMerge w:val="restart"/>
            <w:tcBorders>
              <w:top w:val="single" w:color="000000" w:sz="8" w:space="0"/>
              <w:left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根据服务规范要求在孕</w:t>
            </w:r>
            <w:r>
              <w:rPr>
                <w:rFonts w:ascii="宋体" w:hAnsi="宋体" w:cs="Times New Roman"/>
                <w:sz w:val="20"/>
                <w:szCs w:val="20"/>
              </w:rPr>
              <w:t>16-20</w:t>
            </w:r>
            <w:r>
              <w:rPr>
                <w:rFonts w:hint="eastAsia" w:ascii="宋体" w:hAnsi="宋体" w:cs="Times New Roman"/>
                <w:sz w:val="20"/>
                <w:szCs w:val="20"/>
              </w:rPr>
              <w:t>、</w:t>
            </w:r>
            <w:r>
              <w:rPr>
                <w:rFonts w:ascii="宋体" w:hAnsi="宋体" w:cs="Times New Roman"/>
                <w:sz w:val="20"/>
                <w:szCs w:val="20"/>
              </w:rPr>
              <w:t>21-24</w:t>
            </w:r>
            <w:r>
              <w:rPr>
                <w:rFonts w:hint="eastAsia" w:ascii="宋体" w:hAnsi="宋体" w:cs="Times New Roman"/>
                <w:sz w:val="20"/>
                <w:szCs w:val="20"/>
              </w:rPr>
              <w:t>、</w:t>
            </w:r>
            <w:r>
              <w:rPr>
                <w:rFonts w:ascii="宋体" w:hAnsi="宋体" w:cs="Times New Roman"/>
                <w:sz w:val="20"/>
                <w:szCs w:val="20"/>
              </w:rPr>
              <w:t>28-36</w:t>
            </w:r>
            <w:r>
              <w:rPr>
                <w:rFonts w:hint="eastAsia" w:ascii="宋体" w:hAnsi="宋体" w:cs="Times New Roman"/>
                <w:sz w:val="20"/>
                <w:szCs w:val="20"/>
              </w:rPr>
              <w:t>、</w:t>
            </w:r>
            <w:r>
              <w:rPr>
                <w:rFonts w:ascii="宋体" w:hAnsi="宋体" w:cs="Times New Roman"/>
                <w:sz w:val="20"/>
                <w:szCs w:val="20"/>
              </w:rPr>
              <w:t>37-40</w:t>
            </w:r>
            <w:r>
              <w:rPr>
                <w:rFonts w:hint="eastAsia" w:ascii="宋体" w:hAnsi="宋体" w:cs="Times New Roman"/>
                <w:sz w:val="20"/>
                <w:szCs w:val="20"/>
              </w:rPr>
              <w:t>周各检查一次，进行问诊、一般体检、产科检查及必要的辅助检查，按规定进行产前筛查、孕期糖尿病筛查和高危孕妇筛查等，有异常情况者和高危孕妇增加检查次数，给予针对性的干预措施和转诊，检查情况记入孕产妇保健册，录入孕产妇保健信息系统。</w:t>
            </w:r>
          </w:p>
        </w:tc>
        <w:tc>
          <w:tcPr>
            <w:tcW w:w="1199" w:type="dxa"/>
            <w:vMerge w:val="restart"/>
            <w:tcBorders>
              <w:top w:val="single" w:color="000000" w:sz="8" w:space="0"/>
              <w:left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妇幼保健信息系统</w:t>
            </w:r>
          </w:p>
        </w:tc>
        <w:tc>
          <w:tcPr>
            <w:tcW w:w="3024" w:type="dxa"/>
            <w:vMerge w:val="restart"/>
            <w:tcBorders>
              <w:top w:val="single" w:color="000000" w:sz="8" w:space="0"/>
              <w:left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按照当年产前检查记录的次数统计，人次数以建卡孕产妇总人数</w:t>
            </w:r>
            <w:r>
              <w:rPr>
                <w:rFonts w:ascii="宋体" w:hAnsi="宋体" w:cs="Times New Roman"/>
                <w:sz w:val="20"/>
                <w:szCs w:val="20"/>
              </w:rPr>
              <w:t>×8</w:t>
            </w:r>
            <w:r>
              <w:rPr>
                <w:rFonts w:hint="eastAsia" w:ascii="宋体" w:hAnsi="宋体" w:cs="Times New Roman"/>
                <w:sz w:val="20"/>
                <w:szCs w:val="20"/>
              </w:rPr>
              <w:t>次为限。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cs="Times New Roman"/>
                <w:sz w:val="20"/>
                <w:szCs w:val="20"/>
              </w:rPr>
            </w:pPr>
          </w:p>
        </w:tc>
        <w:tc>
          <w:tcPr>
            <w:tcW w:w="1024" w:type="dxa"/>
            <w:vMerge w:val="continue"/>
            <w:tcBorders>
              <w:left w:val="single" w:color="000000" w:sz="8" w:space="0"/>
              <w:right w:val="single" w:color="000000" w:sz="8" w:space="0"/>
            </w:tcBorders>
            <w:vAlign w:val="center"/>
          </w:tcPr>
          <w:p>
            <w:pPr>
              <w:snapToGrid w:val="0"/>
              <w:jc w:val="center"/>
              <w:rPr>
                <w:rFonts w:ascii="宋体" w:hAnsi="宋体" w:cs="Times New Roman"/>
                <w:sz w:val="20"/>
                <w:szCs w:val="20"/>
              </w:rPr>
            </w:pPr>
          </w:p>
        </w:tc>
        <w:tc>
          <w:tcPr>
            <w:tcW w:w="1238" w:type="dxa"/>
            <w:vMerge w:val="continue"/>
            <w:tcBorders>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p>
        </w:tc>
        <w:tc>
          <w:tcPr>
            <w:tcW w:w="857" w:type="dxa"/>
            <w:vMerge w:val="continue"/>
            <w:tcBorders>
              <w:left w:val="single" w:color="000000" w:sz="8" w:space="0"/>
              <w:right w:val="single" w:color="000000" w:sz="8" w:space="0"/>
            </w:tcBorders>
            <w:vAlign w:val="center"/>
          </w:tcPr>
          <w:p>
            <w:pPr>
              <w:snapToGrid w:val="0"/>
              <w:jc w:val="center"/>
              <w:rPr>
                <w:rFonts w:ascii="宋体" w:hAnsi="宋体" w:cs="Times New Roman"/>
                <w:sz w:val="20"/>
                <w:szCs w:val="20"/>
              </w:rPr>
            </w:pPr>
          </w:p>
        </w:tc>
        <w:tc>
          <w:tcPr>
            <w:tcW w:w="720" w:type="dxa"/>
            <w:vMerge w:val="continue"/>
            <w:tcBorders>
              <w:left w:val="single" w:color="000000" w:sz="8" w:space="0"/>
              <w:right w:val="single" w:color="000000" w:sz="8" w:space="0"/>
            </w:tcBorders>
            <w:vAlign w:val="center"/>
          </w:tcPr>
          <w:p>
            <w:pPr>
              <w:snapToGrid w:val="0"/>
              <w:jc w:val="center"/>
              <w:rPr>
                <w:rFonts w:ascii="宋体" w:hAnsi="宋体" w:cs="Times New Roman"/>
                <w:sz w:val="20"/>
                <w:szCs w:val="20"/>
              </w:rPr>
            </w:pPr>
          </w:p>
        </w:tc>
        <w:tc>
          <w:tcPr>
            <w:tcW w:w="894" w:type="dxa"/>
            <w:tcBorders>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p>
        </w:tc>
        <w:tc>
          <w:tcPr>
            <w:tcW w:w="4347" w:type="dxa"/>
            <w:vMerge w:val="continue"/>
            <w:tcBorders>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p>
        </w:tc>
        <w:tc>
          <w:tcPr>
            <w:tcW w:w="1199" w:type="dxa"/>
            <w:vMerge w:val="continue"/>
            <w:tcBorders>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p>
        </w:tc>
        <w:tc>
          <w:tcPr>
            <w:tcW w:w="3024" w:type="dxa"/>
            <w:vMerge w:val="continue"/>
            <w:tcBorders>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cs="Times New Roman"/>
                <w:b/>
                <w:bCs/>
                <w:sz w:val="20"/>
                <w:szCs w:val="20"/>
              </w:rPr>
            </w:pPr>
          </w:p>
        </w:tc>
        <w:tc>
          <w:tcPr>
            <w:tcW w:w="1024" w:type="dxa"/>
            <w:vMerge w:val="continue"/>
            <w:tcBorders>
              <w:left w:val="single" w:color="000000" w:sz="8" w:space="0"/>
              <w:right w:val="single" w:color="000000" w:sz="8" w:space="0"/>
            </w:tcBorders>
            <w:vAlign w:val="center"/>
          </w:tcPr>
          <w:p>
            <w:pPr>
              <w:snapToGrid w:val="0"/>
              <w:jc w:val="center"/>
              <w:rPr>
                <w:rFonts w:ascii="宋体" w:hAnsi="宋体" w:cs="Times New Roman"/>
                <w:sz w:val="20"/>
                <w:szCs w:val="20"/>
              </w:rPr>
            </w:pP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2.4.3</w:t>
            </w:r>
            <w:r>
              <w:rPr>
                <w:rFonts w:hint="eastAsia" w:ascii="宋体" w:hAnsi="宋体" w:cs="Times New Roman"/>
                <w:sz w:val="20"/>
                <w:szCs w:val="20"/>
              </w:rPr>
              <w:t>产后访视</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人</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3</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产妇分娩出院后</w:t>
            </w:r>
            <w:r>
              <w:rPr>
                <w:rFonts w:ascii="宋体" w:hAnsi="宋体" w:cs="Times New Roman"/>
                <w:sz w:val="20"/>
                <w:szCs w:val="20"/>
              </w:rPr>
              <w:t>7</w:t>
            </w:r>
            <w:r>
              <w:rPr>
                <w:rFonts w:hint="eastAsia" w:ascii="宋体" w:hAnsi="宋体" w:cs="Times New Roman"/>
                <w:sz w:val="20"/>
                <w:szCs w:val="20"/>
              </w:rPr>
              <w:t>天内到产妇家中访视</w:t>
            </w:r>
            <w:r>
              <w:rPr>
                <w:rFonts w:ascii="宋体" w:hAnsi="宋体" w:cs="Times New Roman"/>
                <w:sz w:val="20"/>
                <w:szCs w:val="20"/>
              </w:rPr>
              <w:t>1</w:t>
            </w:r>
            <w:r>
              <w:rPr>
                <w:rFonts w:hint="eastAsia" w:ascii="宋体" w:hAnsi="宋体" w:cs="Times New Roman"/>
                <w:sz w:val="20"/>
                <w:szCs w:val="20"/>
              </w:rPr>
              <w:t>次，进行问诊，测量血压、体温，检查乳房和子宫复旧情况，给予卫生、营养、康复及母乳喂养、新生儿护理等指导，访视情况记入孕产妇保健册，录入孕产妇保健信息系统。</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妇幼保健信息系统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按照当年产后访视记录统计。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jc w:val="center"/>
        </w:trPr>
        <w:tc>
          <w:tcPr>
            <w:tcW w:w="1087" w:type="dxa"/>
            <w:vMerge w:val="restart"/>
            <w:tcBorders>
              <w:left w:val="single" w:color="000000" w:sz="8" w:space="0"/>
              <w:right w:val="single" w:color="000000" w:sz="8" w:space="0"/>
            </w:tcBorders>
            <w:vAlign w:val="center"/>
          </w:tcPr>
          <w:p>
            <w:pPr>
              <w:snapToGrid w:val="0"/>
              <w:jc w:val="center"/>
              <w:rPr>
                <w:rFonts w:ascii="宋体" w:hAnsi="宋体" w:cs="Times New Roman"/>
                <w:b/>
                <w:bCs/>
                <w:sz w:val="20"/>
                <w:szCs w:val="20"/>
              </w:rPr>
            </w:pPr>
            <w:r>
              <w:rPr>
                <w:rFonts w:ascii="宋体" w:hAnsi="宋体" w:cs="Times New Roman"/>
                <w:b/>
                <w:bCs/>
                <w:sz w:val="20"/>
                <w:szCs w:val="20"/>
              </w:rPr>
              <w:t>2.</w:t>
            </w:r>
            <w:r>
              <w:rPr>
                <w:rFonts w:hint="eastAsia" w:ascii="宋体" w:hAnsi="宋体" w:cs="Times New Roman"/>
                <w:b/>
                <w:bCs/>
                <w:sz w:val="20"/>
                <w:szCs w:val="20"/>
              </w:rPr>
              <w:t>基本公共卫生</w:t>
            </w:r>
          </w:p>
        </w:tc>
        <w:tc>
          <w:tcPr>
            <w:tcW w:w="1024" w:type="dxa"/>
            <w:vMerge w:val="restart"/>
            <w:tcBorders>
              <w:left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2.4</w:t>
            </w:r>
            <w:r>
              <w:rPr>
                <w:rFonts w:hint="eastAsia" w:ascii="宋体" w:hAnsi="宋体" w:cs="Times New Roman"/>
                <w:sz w:val="20"/>
                <w:szCs w:val="20"/>
              </w:rPr>
              <w:t>孕产妇保健</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2.4.4</w:t>
            </w:r>
            <w:r>
              <w:rPr>
                <w:rFonts w:hint="eastAsia" w:ascii="宋体" w:hAnsi="宋体" w:cs="Times New Roman"/>
                <w:sz w:val="20"/>
                <w:szCs w:val="20"/>
              </w:rPr>
              <w:t>产后</w:t>
            </w:r>
            <w:r>
              <w:rPr>
                <w:rFonts w:ascii="宋体" w:hAnsi="宋体" w:cs="Times New Roman"/>
                <w:sz w:val="20"/>
                <w:szCs w:val="20"/>
              </w:rPr>
              <w:t>42</w:t>
            </w:r>
            <w:r>
              <w:rPr>
                <w:rFonts w:hint="eastAsia" w:ascii="宋体" w:hAnsi="宋体" w:cs="Times New Roman"/>
                <w:sz w:val="20"/>
                <w:szCs w:val="20"/>
              </w:rPr>
              <w:t>天检查</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人</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1</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进行问诊，测量血压、体温、体重，检查乳房和子宫复旧情况，给予产后康复等健康指导，并记入孕产妇保健册，录入孕产妇保健信息系统。</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妇幼保健信息系统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按照当年产后</w:t>
            </w:r>
            <w:r>
              <w:rPr>
                <w:rFonts w:ascii="宋体" w:hAnsi="宋体" w:cs="Times New Roman"/>
                <w:sz w:val="20"/>
                <w:szCs w:val="20"/>
              </w:rPr>
              <w:t>42</w:t>
            </w:r>
            <w:r>
              <w:rPr>
                <w:rFonts w:hint="eastAsia" w:ascii="宋体" w:hAnsi="宋体" w:cs="Times New Roman"/>
                <w:sz w:val="20"/>
                <w:szCs w:val="20"/>
              </w:rPr>
              <w:t>天健康检查记录统计。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cs="Times New Roman"/>
                <w:b/>
                <w:bCs/>
                <w:sz w:val="20"/>
                <w:szCs w:val="20"/>
              </w:rPr>
            </w:pPr>
          </w:p>
        </w:tc>
        <w:tc>
          <w:tcPr>
            <w:tcW w:w="1024" w:type="dxa"/>
            <w:vMerge w:val="continue"/>
            <w:tcBorders>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2.4.5</w:t>
            </w:r>
            <w:r>
              <w:rPr>
                <w:rFonts w:hint="eastAsia" w:ascii="宋体" w:hAnsi="宋体" w:cs="Times New Roman"/>
                <w:sz w:val="20"/>
                <w:szCs w:val="20"/>
              </w:rPr>
              <w:t>高危孕产妇管理</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人</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4</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对筛查发现的高危孕产妇进行高危评定，做好高危标识、报告和专案登记，落实分级随访管理，对高危因素复杂或病情严重者，及时转诊至上级机构诊治，并做好追踪了解转归，产后</w:t>
            </w:r>
            <w:r>
              <w:rPr>
                <w:rFonts w:ascii="宋体" w:hAnsi="宋体" w:cs="Times New Roman"/>
                <w:sz w:val="20"/>
                <w:szCs w:val="20"/>
              </w:rPr>
              <w:t>42</w:t>
            </w:r>
            <w:r>
              <w:rPr>
                <w:rFonts w:hint="eastAsia" w:ascii="宋体" w:hAnsi="宋体" w:cs="Times New Roman"/>
                <w:sz w:val="20"/>
                <w:szCs w:val="20"/>
              </w:rPr>
              <w:t>天检查时按高危因素进行复查并予结案。</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妇幼保健信息系统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按照当年结案的高危孕产妇人数统计，除去管理不合格人数。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3"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cs="Times New Roman"/>
                <w:b/>
                <w:bCs/>
                <w:sz w:val="20"/>
                <w:szCs w:val="20"/>
              </w:rPr>
            </w:pPr>
          </w:p>
        </w:tc>
        <w:tc>
          <w:tcPr>
            <w:tcW w:w="102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hint="eastAsia" w:ascii="宋体" w:hAnsi="宋体" w:cs="Times New Roman"/>
                <w:sz w:val="20"/>
                <w:szCs w:val="20"/>
              </w:rPr>
            </w:pPr>
            <w:r>
              <w:rPr>
                <w:rFonts w:ascii="宋体" w:hAnsi="宋体" w:cs="Times New Roman"/>
                <w:sz w:val="20"/>
                <w:szCs w:val="20"/>
              </w:rPr>
              <w:t>2.5</w:t>
            </w:r>
            <w:r>
              <w:rPr>
                <w:rFonts w:hint="eastAsia" w:ascii="宋体" w:hAnsi="宋体" w:cs="Times New Roman"/>
                <w:sz w:val="20"/>
                <w:szCs w:val="20"/>
              </w:rPr>
              <w:t>老年人健康</w:t>
            </w:r>
          </w:p>
          <w:p>
            <w:pPr>
              <w:snapToGrid w:val="0"/>
              <w:jc w:val="center"/>
              <w:rPr>
                <w:rFonts w:ascii="宋体" w:hAnsi="宋体" w:cs="Times New Roman"/>
                <w:sz w:val="20"/>
                <w:szCs w:val="20"/>
              </w:rPr>
            </w:pPr>
            <w:r>
              <w:rPr>
                <w:rFonts w:hint="eastAsia" w:ascii="宋体" w:hAnsi="宋体" w:cs="Times New Roman"/>
                <w:sz w:val="20"/>
                <w:szCs w:val="20"/>
              </w:rPr>
              <w:t>管理</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2.5.1</w:t>
            </w:r>
            <w:r>
              <w:rPr>
                <w:rFonts w:hint="eastAsia" w:ascii="宋体" w:hAnsi="宋体" w:cs="Times New Roman"/>
                <w:sz w:val="20"/>
                <w:szCs w:val="20"/>
              </w:rPr>
              <w:t>老年人健康管理</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人</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7</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每年为</w:t>
            </w:r>
            <w:r>
              <w:rPr>
                <w:rFonts w:ascii="宋体" w:hAnsi="宋体" w:cs="Times New Roman"/>
                <w:sz w:val="20"/>
                <w:szCs w:val="20"/>
              </w:rPr>
              <w:t>65</w:t>
            </w:r>
            <w:r>
              <w:rPr>
                <w:rFonts w:hint="eastAsia" w:ascii="宋体" w:hAnsi="宋体" w:cs="Times New Roman"/>
                <w:sz w:val="20"/>
                <w:szCs w:val="20"/>
              </w:rPr>
              <w:t>岁以上老年人提供</w:t>
            </w:r>
            <w:r>
              <w:rPr>
                <w:rFonts w:ascii="宋体" w:hAnsi="宋体" w:cs="Times New Roman"/>
                <w:sz w:val="20"/>
                <w:szCs w:val="20"/>
              </w:rPr>
              <w:t>1</w:t>
            </w:r>
            <w:r>
              <w:rPr>
                <w:rFonts w:hint="eastAsia" w:ascii="宋体" w:hAnsi="宋体" w:cs="Times New Roman"/>
                <w:sz w:val="20"/>
                <w:szCs w:val="20"/>
              </w:rPr>
              <w:t>次健康管理服务，包括询问生活方式、体格检查、辅助检查，健康状况评估和健康指导。</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健康档案系统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按照建有老年人管理专案、且有当年《老年人健康检查》和《健康管理登记表》的人数统计，除去健康检查和健康管理登记表不合格（空项、缺项、错项</w:t>
            </w:r>
            <w:r>
              <w:rPr>
                <w:rFonts w:ascii="宋体" w:hAnsi="宋体" w:cs="Times New Roman"/>
                <w:sz w:val="20"/>
                <w:szCs w:val="20"/>
              </w:rPr>
              <w:t>≥3</w:t>
            </w:r>
            <w:r>
              <w:rPr>
                <w:rFonts w:hint="eastAsia" w:ascii="宋体" w:hAnsi="宋体" w:cs="Times New Roman"/>
                <w:sz w:val="20"/>
                <w:szCs w:val="20"/>
              </w:rPr>
              <w:t>项，缺血压、血糖任</w:t>
            </w:r>
            <w:r>
              <w:rPr>
                <w:rFonts w:ascii="宋体" w:hAnsi="宋体" w:cs="Times New Roman"/>
                <w:sz w:val="20"/>
                <w:szCs w:val="20"/>
              </w:rPr>
              <w:t>1</w:t>
            </w:r>
            <w:r>
              <w:rPr>
                <w:rFonts w:hint="eastAsia" w:ascii="宋体" w:hAnsi="宋体" w:cs="Times New Roman"/>
                <w:sz w:val="20"/>
                <w:szCs w:val="20"/>
              </w:rPr>
              <w:t>项，缺健康评价）的人数。可以按老年人健康管理专案建档总数</w:t>
            </w:r>
            <w:r>
              <w:rPr>
                <w:rFonts w:ascii="宋体" w:hAnsi="宋体" w:cs="Times New Roman"/>
                <w:sz w:val="20"/>
                <w:szCs w:val="20"/>
              </w:rPr>
              <w:t>×</w:t>
            </w:r>
            <w:r>
              <w:rPr>
                <w:rFonts w:hint="eastAsia" w:ascii="宋体" w:hAnsi="宋体" w:cs="Times New Roman"/>
                <w:sz w:val="20"/>
                <w:szCs w:val="20"/>
              </w:rPr>
              <w:t>老年人抽查规范管理率计算。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7"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cs="Times New Roman"/>
                <w:b/>
                <w:bCs/>
                <w:sz w:val="20"/>
                <w:szCs w:val="20"/>
              </w:rPr>
            </w:pPr>
          </w:p>
        </w:tc>
        <w:tc>
          <w:tcPr>
            <w:tcW w:w="1024" w:type="dxa"/>
            <w:tcBorders>
              <w:left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w:t>
            </w:r>
            <w:r>
              <w:rPr>
                <w:rFonts w:hint="eastAsia" w:ascii="宋体" w:hAnsi="宋体" w:cs="Times New Roman"/>
                <w:sz w:val="20"/>
                <w:szCs w:val="20"/>
              </w:rPr>
              <w:t>6高血压病患者管理</w:t>
            </w:r>
          </w:p>
        </w:tc>
        <w:tc>
          <w:tcPr>
            <w:tcW w:w="1238" w:type="dxa"/>
            <w:tcBorders>
              <w:top w:val="single" w:color="000000" w:sz="8" w:space="0"/>
              <w:left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随访人次</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2</w:t>
            </w:r>
            <w:r>
              <w:rPr>
                <w:rFonts w:ascii="宋体" w:hAnsi="宋体" w:cs="Times New Roman"/>
                <w:sz w:val="20"/>
                <w:szCs w:val="20"/>
              </w:rPr>
              <w:t>.5</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w:t>
            </w:r>
          </w:p>
        </w:tc>
        <w:tc>
          <w:tcPr>
            <w:tcW w:w="894" w:type="dxa"/>
            <w:tcBorders>
              <w:top w:val="single" w:color="000000" w:sz="8" w:space="0"/>
              <w:left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2.5</w:t>
            </w:r>
          </w:p>
        </w:tc>
        <w:tc>
          <w:tcPr>
            <w:tcW w:w="4347" w:type="dxa"/>
            <w:tcBorders>
              <w:left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加强高危人群疾病筛查，通过体检、随访、建档等途径检出高血压患者，纳入健康管理，并按分级管理要求进行随访、体检、评估、干预、双向转诊和健康指导。分级管理要求：健康体检每年</w:t>
            </w:r>
            <w:r>
              <w:rPr>
                <w:rFonts w:ascii="宋体" w:hAnsi="宋体" w:cs="Times New Roman"/>
                <w:sz w:val="20"/>
                <w:szCs w:val="20"/>
              </w:rPr>
              <w:t>1</w:t>
            </w:r>
            <w:r>
              <w:rPr>
                <w:rFonts w:hint="eastAsia" w:ascii="宋体" w:hAnsi="宋体" w:cs="Times New Roman"/>
                <w:sz w:val="20"/>
                <w:szCs w:val="20"/>
              </w:rPr>
              <w:t>次，随访一级每年</w:t>
            </w:r>
            <w:r>
              <w:rPr>
                <w:rFonts w:ascii="宋体" w:hAnsi="宋体" w:cs="Times New Roman"/>
                <w:sz w:val="20"/>
                <w:szCs w:val="20"/>
              </w:rPr>
              <w:t>4</w:t>
            </w:r>
            <w:r>
              <w:rPr>
                <w:rFonts w:hint="eastAsia" w:ascii="宋体" w:hAnsi="宋体" w:cs="Times New Roman"/>
                <w:sz w:val="20"/>
                <w:szCs w:val="20"/>
              </w:rPr>
              <w:t>次、二级每年</w:t>
            </w:r>
            <w:r>
              <w:rPr>
                <w:rFonts w:ascii="宋体" w:hAnsi="宋体" w:cs="Times New Roman"/>
                <w:sz w:val="20"/>
                <w:szCs w:val="20"/>
              </w:rPr>
              <w:t>6</w:t>
            </w:r>
            <w:r>
              <w:rPr>
                <w:rFonts w:hint="eastAsia" w:ascii="宋体" w:hAnsi="宋体" w:cs="Times New Roman"/>
                <w:sz w:val="20"/>
                <w:szCs w:val="20"/>
              </w:rPr>
              <w:t>次、三级每年</w:t>
            </w:r>
            <w:r>
              <w:rPr>
                <w:rFonts w:ascii="宋体" w:hAnsi="宋体" w:cs="Times New Roman"/>
                <w:sz w:val="20"/>
                <w:szCs w:val="20"/>
              </w:rPr>
              <w:t>12</w:t>
            </w:r>
            <w:r>
              <w:rPr>
                <w:rFonts w:hint="eastAsia" w:ascii="宋体" w:hAnsi="宋体" w:cs="Times New Roman"/>
                <w:sz w:val="20"/>
                <w:szCs w:val="20"/>
              </w:rPr>
              <w:t>次。管理情况记入健康档案。</w:t>
            </w:r>
          </w:p>
        </w:tc>
        <w:tc>
          <w:tcPr>
            <w:tcW w:w="1199" w:type="dxa"/>
            <w:tcBorders>
              <w:left w:val="single" w:color="000000" w:sz="8" w:space="0"/>
              <w:right w:val="single" w:color="000000" w:sz="8" w:space="0"/>
            </w:tcBorders>
            <w:vAlign w:val="center"/>
          </w:tcPr>
          <w:p>
            <w:pPr>
              <w:snapToGrid w:val="0"/>
              <w:jc w:val="center"/>
              <w:rPr>
                <w:rFonts w:ascii="宋体" w:hAnsi="宋体" w:cs="Times New Roman"/>
                <w:sz w:val="20"/>
                <w:szCs w:val="20"/>
              </w:rPr>
            </w:pPr>
          </w:p>
        </w:tc>
        <w:tc>
          <w:tcPr>
            <w:tcW w:w="3024" w:type="dxa"/>
            <w:tcBorders>
              <w:top w:val="single" w:color="000000" w:sz="8" w:space="0"/>
              <w:left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按照高血压患者管理专案中当年填有《高血压患者随访服务记录表》的次数统计，除去随访记录表不合格（空项、缺项、错项</w:t>
            </w:r>
            <w:r>
              <w:rPr>
                <w:rFonts w:ascii="宋体" w:hAnsi="宋体" w:cs="Times New Roman"/>
                <w:sz w:val="20"/>
                <w:szCs w:val="20"/>
              </w:rPr>
              <w:t>≥2</w:t>
            </w:r>
            <w:r>
              <w:rPr>
                <w:rFonts w:hint="eastAsia" w:ascii="宋体" w:hAnsi="宋体" w:cs="Times New Roman"/>
                <w:sz w:val="20"/>
                <w:szCs w:val="20"/>
              </w:rPr>
              <w:t>项，血压值未填，连续</w:t>
            </w:r>
            <w:r>
              <w:rPr>
                <w:rFonts w:ascii="宋体" w:hAnsi="宋体" w:cs="Times New Roman"/>
                <w:sz w:val="20"/>
                <w:szCs w:val="20"/>
              </w:rPr>
              <w:t>2</w:t>
            </w:r>
            <w:r>
              <w:rPr>
                <w:rFonts w:hint="eastAsia" w:ascii="宋体" w:hAnsi="宋体" w:cs="Times New Roman"/>
                <w:sz w:val="20"/>
                <w:szCs w:val="20"/>
              </w:rPr>
              <w:t>次血压未控制未建议转诊）的人数。一级、二级、三级随访人次数分别统计。数量控制上按一级管理专案建档人数</w:t>
            </w:r>
            <w:r>
              <w:rPr>
                <w:rFonts w:ascii="宋体" w:hAnsi="宋体" w:cs="Times New Roman"/>
                <w:sz w:val="20"/>
                <w:szCs w:val="20"/>
              </w:rPr>
              <w:t>×4</w:t>
            </w:r>
            <w:r>
              <w:rPr>
                <w:rFonts w:hint="eastAsia" w:ascii="宋体" w:hAnsi="宋体" w:cs="Times New Roman"/>
                <w:sz w:val="20"/>
                <w:szCs w:val="20"/>
              </w:rPr>
              <w:t>次、二级管理专案建档人数</w:t>
            </w:r>
            <w:r>
              <w:rPr>
                <w:rFonts w:ascii="宋体" w:hAnsi="宋体" w:cs="Times New Roman"/>
                <w:sz w:val="20"/>
                <w:szCs w:val="20"/>
              </w:rPr>
              <w:t>×6</w:t>
            </w:r>
            <w:r>
              <w:rPr>
                <w:rFonts w:hint="eastAsia" w:ascii="宋体" w:hAnsi="宋体" w:cs="Times New Roman"/>
                <w:sz w:val="20"/>
                <w:szCs w:val="20"/>
              </w:rPr>
              <w:t>次、三级管理专案建档人数</w:t>
            </w:r>
            <w:r>
              <w:rPr>
                <w:rFonts w:ascii="宋体" w:hAnsi="宋体" w:cs="Times New Roman"/>
                <w:sz w:val="20"/>
                <w:szCs w:val="20"/>
              </w:rPr>
              <w:t>×12</w:t>
            </w:r>
            <w:r>
              <w:rPr>
                <w:rFonts w:hint="eastAsia" w:ascii="宋体" w:hAnsi="宋体" w:cs="Times New Roman"/>
                <w:sz w:val="20"/>
                <w:szCs w:val="20"/>
              </w:rPr>
              <w:t>次计算为限。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7" w:type="dxa"/>
            <w:vMerge w:val="restart"/>
            <w:tcBorders>
              <w:left w:val="single" w:color="000000" w:sz="8" w:space="0"/>
              <w:right w:val="single" w:color="000000" w:sz="8" w:space="0"/>
            </w:tcBorders>
            <w:vAlign w:val="center"/>
          </w:tcPr>
          <w:p>
            <w:pPr>
              <w:snapToGrid w:val="0"/>
              <w:jc w:val="center"/>
              <w:rPr>
                <w:rFonts w:ascii="宋体" w:hAnsi="宋体" w:cs="Times New Roman"/>
                <w:b/>
                <w:bCs/>
                <w:sz w:val="20"/>
                <w:szCs w:val="20"/>
              </w:rPr>
            </w:pPr>
            <w:r>
              <w:rPr>
                <w:rFonts w:ascii="宋体" w:hAnsi="宋体" w:cs="Times New Roman"/>
                <w:b/>
                <w:bCs/>
                <w:sz w:val="20"/>
                <w:szCs w:val="20"/>
              </w:rPr>
              <w:t>2.</w:t>
            </w:r>
            <w:r>
              <w:rPr>
                <w:rFonts w:hint="eastAsia" w:ascii="宋体" w:hAnsi="宋体" w:cs="Times New Roman"/>
                <w:b/>
                <w:bCs/>
                <w:sz w:val="20"/>
                <w:szCs w:val="20"/>
              </w:rPr>
              <w:t>基本公共卫生</w:t>
            </w:r>
          </w:p>
        </w:tc>
        <w:tc>
          <w:tcPr>
            <w:tcW w:w="1024" w:type="dxa"/>
            <w:tcBorders>
              <w:top w:val="single" w:color="000000" w:sz="8" w:space="0"/>
              <w:left w:val="single" w:color="000000" w:sz="8" w:space="0"/>
              <w:right w:val="single" w:color="000000" w:sz="8" w:space="0"/>
            </w:tcBorders>
            <w:vAlign w:val="center"/>
          </w:tcPr>
          <w:p>
            <w:pPr>
              <w:snapToGrid w:val="0"/>
              <w:jc w:val="center"/>
              <w:rPr>
                <w:rFonts w:hint="eastAsia" w:ascii="宋体" w:hAnsi="宋体" w:cs="Times New Roman"/>
                <w:sz w:val="20"/>
                <w:szCs w:val="20"/>
              </w:rPr>
            </w:pPr>
            <w:r>
              <w:rPr>
                <w:rFonts w:ascii="宋体" w:hAnsi="宋体" w:cs="Times New Roman"/>
                <w:sz w:val="20"/>
                <w:szCs w:val="20"/>
              </w:rPr>
              <w:t>2.7</w:t>
            </w:r>
            <w:r>
              <w:rPr>
                <w:rFonts w:hint="eastAsia" w:ascii="宋体" w:hAnsi="宋体" w:cs="Times New Roman"/>
                <w:sz w:val="20"/>
                <w:szCs w:val="20"/>
              </w:rPr>
              <w:t>糖尿病患者</w:t>
            </w:r>
          </w:p>
          <w:p>
            <w:pPr>
              <w:snapToGrid w:val="0"/>
              <w:jc w:val="center"/>
              <w:rPr>
                <w:rFonts w:ascii="宋体" w:hAnsi="宋体" w:cs="Times New Roman"/>
                <w:sz w:val="20"/>
                <w:szCs w:val="20"/>
              </w:rPr>
            </w:pPr>
            <w:r>
              <w:rPr>
                <w:rFonts w:hint="eastAsia" w:ascii="宋体" w:hAnsi="宋体" w:cs="Times New Roman"/>
                <w:sz w:val="20"/>
                <w:szCs w:val="20"/>
              </w:rPr>
              <w:t>管理</w:t>
            </w:r>
          </w:p>
        </w:tc>
        <w:tc>
          <w:tcPr>
            <w:tcW w:w="1238" w:type="dxa"/>
            <w:tcBorders>
              <w:top w:val="single" w:color="000000" w:sz="8" w:space="0"/>
              <w:left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随访人次</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2.75</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w:t>
            </w:r>
          </w:p>
        </w:tc>
        <w:tc>
          <w:tcPr>
            <w:tcW w:w="894" w:type="dxa"/>
            <w:tcBorders>
              <w:top w:val="single" w:color="000000" w:sz="8" w:space="0"/>
              <w:left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2.75</w:t>
            </w:r>
          </w:p>
        </w:tc>
        <w:tc>
          <w:tcPr>
            <w:tcW w:w="4347" w:type="dxa"/>
            <w:tcBorders>
              <w:top w:val="single" w:color="000000" w:sz="8" w:space="0"/>
              <w:left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加强高危人群疾病筛查，通过门诊、体检、随访、建档等途径检出糖尿病患者，纳入健康管理，并按分级管理要求进行随访、体检、评估、干预、双向转诊和健康指导。分级管理要求：健康体检每年</w:t>
            </w:r>
            <w:r>
              <w:rPr>
                <w:rFonts w:ascii="宋体" w:hAnsi="宋体" w:cs="Times New Roman"/>
                <w:sz w:val="20"/>
                <w:szCs w:val="20"/>
              </w:rPr>
              <w:t>1</w:t>
            </w:r>
            <w:r>
              <w:rPr>
                <w:rFonts w:hint="eastAsia" w:ascii="宋体" w:hAnsi="宋体" w:cs="Times New Roman"/>
                <w:sz w:val="20"/>
                <w:szCs w:val="20"/>
              </w:rPr>
              <w:t>次，随访常规管理每季度一次面访、空腹血糖，强化管理每</w:t>
            </w:r>
            <w:r>
              <w:rPr>
                <w:rFonts w:ascii="宋体" w:hAnsi="宋体" w:cs="Times New Roman"/>
                <w:sz w:val="20"/>
                <w:szCs w:val="20"/>
              </w:rPr>
              <w:t>1</w:t>
            </w:r>
            <w:r>
              <w:rPr>
                <w:rFonts w:hint="eastAsia" w:ascii="宋体" w:hAnsi="宋体" w:cs="Times New Roman"/>
                <w:sz w:val="20"/>
                <w:szCs w:val="20"/>
              </w:rPr>
              <w:t>个月</w:t>
            </w:r>
            <w:r>
              <w:rPr>
                <w:rFonts w:ascii="宋体" w:hAnsi="宋体" w:cs="Times New Roman"/>
                <w:sz w:val="20"/>
                <w:szCs w:val="20"/>
              </w:rPr>
              <w:t>1</w:t>
            </w:r>
            <w:r>
              <w:rPr>
                <w:rFonts w:hint="eastAsia" w:ascii="宋体" w:hAnsi="宋体" w:cs="Times New Roman"/>
                <w:sz w:val="20"/>
                <w:szCs w:val="20"/>
              </w:rPr>
              <w:t>次（其中每季度一次面访、空腹血糖）。</w:t>
            </w:r>
          </w:p>
        </w:tc>
        <w:tc>
          <w:tcPr>
            <w:tcW w:w="1199" w:type="dxa"/>
            <w:tcBorders>
              <w:top w:val="single" w:color="000000" w:sz="8" w:space="0"/>
              <w:left w:val="single" w:color="000000" w:sz="8" w:space="0"/>
              <w:right w:val="single" w:color="000000" w:sz="8" w:space="0"/>
            </w:tcBorders>
            <w:vAlign w:val="center"/>
          </w:tcPr>
          <w:p>
            <w:pPr>
              <w:snapToGrid w:val="0"/>
              <w:jc w:val="center"/>
              <w:rPr>
                <w:rFonts w:ascii="宋体" w:hAnsi="宋体" w:cs="Times New Roman"/>
                <w:sz w:val="20"/>
                <w:szCs w:val="20"/>
              </w:rPr>
            </w:pPr>
          </w:p>
          <w:p>
            <w:pPr>
              <w:snapToGrid w:val="0"/>
              <w:jc w:val="center"/>
              <w:rPr>
                <w:rFonts w:ascii="宋体" w:hAnsi="宋体" w:cs="Times New Roman"/>
                <w:sz w:val="20"/>
                <w:szCs w:val="20"/>
              </w:rPr>
            </w:pPr>
          </w:p>
          <w:p>
            <w:pPr>
              <w:snapToGrid w:val="0"/>
              <w:jc w:val="center"/>
              <w:rPr>
                <w:rFonts w:ascii="宋体" w:hAnsi="宋体" w:cs="Times New Roman"/>
                <w:sz w:val="20"/>
                <w:szCs w:val="20"/>
              </w:rPr>
            </w:pPr>
          </w:p>
          <w:p>
            <w:pPr>
              <w:snapToGrid w:val="0"/>
              <w:jc w:val="center"/>
              <w:rPr>
                <w:rFonts w:ascii="宋体" w:hAnsi="宋体" w:cs="Times New Roman"/>
                <w:sz w:val="20"/>
                <w:szCs w:val="20"/>
              </w:rPr>
            </w:pPr>
            <w:r>
              <w:rPr>
                <w:rFonts w:hint="eastAsia" w:ascii="宋体" w:hAnsi="宋体" w:cs="Times New Roman"/>
                <w:sz w:val="20"/>
                <w:szCs w:val="20"/>
              </w:rPr>
              <w:t>健康档案系统</w:t>
            </w:r>
          </w:p>
        </w:tc>
        <w:tc>
          <w:tcPr>
            <w:tcW w:w="3024" w:type="dxa"/>
            <w:tcBorders>
              <w:top w:val="single" w:color="000000" w:sz="8" w:space="0"/>
              <w:left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按照糖尿病患者管理专案中当年填有《糖尿病患者随访服务记录表》的次数统计，除去随访记录表不合格（空项、缺项、错项</w:t>
            </w:r>
            <w:r>
              <w:rPr>
                <w:rFonts w:ascii="宋体" w:hAnsi="宋体" w:cs="Times New Roman"/>
                <w:sz w:val="20"/>
                <w:szCs w:val="20"/>
              </w:rPr>
              <w:t>≥2</w:t>
            </w:r>
            <w:r>
              <w:rPr>
                <w:rFonts w:hint="eastAsia" w:ascii="宋体" w:hAnsi="宋体" w:cs="Times New Roman"/>
                <w:sz w:val="20"/>
                <w:szCs w:val="20"/>
              </w:rPr>
              <w:t>项，血糖值未填，连续</w:t>
            </w:r>
            <w:r>
              <w:rPr>
                <w:rFonts w:ascii="宋体" w:hAnsi="宋体" w:cs="Times New Roman"/>
                <w:sz w:val="20"/>
                <w:szCs w:val="20"/>
              </w:rPr>
              <w:t>2</w:t>
            </w:r>
            <w:r>
              <w:rPr>
                <w:rFonts w:hint="eastAsia" w:ascii="宋体" w:hAnsi="宋体" w:cs="Times New Roman"/>
                <w:sz w:val="20"/>
                <w:szCs w:val="20"/>
              </w:rPr>
              <w:t>次血糖未控制未建议转诊）的人数。常规管理、强化管理随访人次数分别统计。数量控制上按常规管理专案建档人数</w:t>
            </w:r>
            <w:r>
              <w:rPr>
                <w:rFonts w:ascii="宋体" w:hAnsi="宋体" w:cs="Times New Roman"/>
                <w:sz w:val="20"/>
                <w:szCs w:val="20"/>
              </w:rPr>
              <w:t>×4</w:t>
            </w:r>
            <w:r>
              <w:rPr>
                <w:rFonts w:hint="eastAsia" w:ascii="宋体" w:hAnsi="宋体" w:cs="Times New Roman"/>
                <w:sz w:val="20"/>
                <w:szCs w:val="20"/>
              </w:rPr>
              <w:t>次、强化管理专案建档人数</w:t>
            </w:r>
            <w:r>
              <w:rPr>
                <w:rFonts w:ascii="宋体" w:hAnsi="宋体" w:cs="Times New Roman"/>
                <w:sz w:val="20"/>
                <w:szCs w:val="20"/>
              </w:rPr>
              <w:t>×12</w:t>
            </w:r>
            <w:r>
              <w:rPr>
                <w:rFonts w:hint="eastAsia" w:ascii="宋体" w:hAnsi="宋体" w:cs="Times New Roman"/>
                <w:sz w:val="20"/>
                <w:szCs w:val="20"/>
              </w:rPr>
              <w:t>次计算为限。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cs="Times New Roman"/>
                <w:b/>
                <w:bCs/>
                <w:sz w:val="20"/>
                <w:szCs w:val="20"/>
              </w:rPr>
            </w:pPr>
          </w:p>
        </w:tc>
        <w:tc>
          <w:tcPr>
            <w:tcW w:w="1024" w:type="dxa"/>
            <w:tcBorders>
              <w:top w:val="single" w:color="000000" w:sz="8" w:space="0"/>
              <w:left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2.8</w:t>
            </w:r>
            <w:r>
              <w:rPr>
                <w:rFonts w:hint="eastAsia" w:ascii="宋体" w:hAnsi="宋体" w:cs="Times New Roman"/>
                <w:sz w:val="20"/>
                <w:szCs w:val="20"/>
              </w:rPr>
              <w:t>严重精神障碍患者管理</w:t>
            </w:r>
          </w:p>
        </w:tc>
        <w:tc>
          <w:tcPr>
            <w:tcW w:w="1238" w:type="dxa"/>
            <w:tcBorders>
              <w:top w:val="single" w:color="000000" w:sz="8" w:space="0"/>
              <w:left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2.8.1</w:t>
            </w:r>
            <w:r>
              <w:rPr>
                <w:rFonts w:hint="eastAsia" w:ascii="宋体" w:hAnsi="宋体" w:cs="Times New Roman"/>
                <w:sz w:val="20"/>
                <w:szCs w:val="20"/>
              </w:rPr>
              <w:t>严重精神障碍患者管理</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人</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12</w:t>
            </w:r>
          </w:p>
        </w:tc>
        <w:tc>
          <w:tcPr>
            <w:tcW w:w="894" w:type="dxa"/>
            <w:tcBorders>
              <w:top w:val="single" w:color="000000" w:sz="8" w:space="0"/>
              <w:left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w:t>
            </w:r>
          </w:p>
        </w:tc>
        <w:tc>
          <w:tcPr>
            <w:tcW w:w="4347" w:type="dxa"/>
            <w:tcBorders>
              <w:top w:val="single" w:color="000000" w:sz="8" w:space="0"/>
              <w:left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定期开展社区摸底排查，发现疑似病人送上级机构诊断复核，确诊患者纳入健康管理，并按分类管理要求进行随访、体检、评估、干预、双向转诊、应急处置。分级管理要求：体检每年</w:t>
            </w:r>
            <w:r>
              <w:rPr>
                <w:rFonts w:ascii="宋体" w:hAnsi="宋体" w:cs="Times New Roman"/>
                <w:sz w:val="20"/>
                <w:szCs w:val="20"/>
              </w:rPr>
              <w:t>1</w:t>
            </w:r>
            <w:r>
              <w:rPr>
                <w:rFonts w:hint="eastAsia" w:ascii="宋体" w:hAnsi="宋体" w:cs="Times New Roman"/>
                <w:sz w:val="20"/>
                <w:szCs w:val="20"/>
              </w:rPr>
              <w:t>次，对病情不稳定者（危险性</w:t>
            </w:r>
            <w:r>
              <w:rPr>
                <w:rFonts w:ascii="宋体" w:hAnsi="宋体" w:cs="Times New Roman"/>
                <w:sz w:val="20"/>
                <w:szCs w:val="20"/>
              </w:rPr>
              <w:t>3-5</w:t>
            </w:r>
            <w:r>
              <w:rPr>
                <w:rFonts w:hint="eastAsia" w:ascii="宋体" w:hAnsi="宋体" w:cs="Times New Roman"/>
                <w:sz w:val="20"/>
                <w:szCs w:val="20"/>
              </w:rPr>
              <w:t>级），给予对症处理后转送上级医院，未住院者</w:t>
            </w:r>
            <w:r>
              <w:rPr>
                <w:rFonts w:ascii="宋体" w:hAnsi="宋体" w:cs="Times New Roman"/>
                <w:sz w:val="20"/>
                <w:szCs w:val="20"/>
              </w:rPr>
              <w:t>2</w:t>
            </w:r>
            <w:r>
              <w:rPr>
                <w:rFonts w:hint="eastAsia" w:ascii="宋体" w:hAnsi="宋体" w:cs="Times New Roman"/>
                <w:sz w:val="20"/>
                <w:szCs w:val="20"/>
              </w:rPr>
              <w:t>周随访；对病情基本稳定者（危险性</w:t>
            </w:r>
            <w:r>
              <w:rPr>
                <w:rFonts w:ascii="宋体" w:hAnsi="宋体" w:cs="Times New Roman"/>
                <w:sz w:val="20"/>
                <w:szCs w:val="20"/>
              </w:rPr>
              <w:t>1-2</w:t>
            </w:r>
            <w:r>
              <w:rPr>
                <w:rFonts w:hint="eastAsia" w:ascii="宋体" w:hAnsi="宋体" w:cs="Times New Roman"/>
                <w:sz w:val="20"/>
                <w:szCs w:val="20"/>
              </w:rPr>
              <w:t>级），调整用药等处理后，</w:t>
            </w:r>
            <w:r>
              <w:rPr>
                <w:rFonts w:ascii="宋体" w:hAnsi="宋体" w:cs="Times New Roman"/>
                <w:sz w:val="20"/>
                <w:szCs w:val="20"/>
              </w:rPr>
              <w:t>2</w:t>
            </w:r>
            <w:r>
              <w:rPr>
                <w:rFonts w:hint="eastAsia" w:ascii="宋体" w:hAnsi="宋体" w:cs="Times New Roman"/>
                <w:sz w:val="20"/>
                <w:szCs w:val="20"/>
              </w:rPr>
              <w:t>周随访，如病情趋于稳定，每</w:t>
            </w:r>
            <w:r>
              <w:rPr>
                <w:rFonts w:ascii="宋体" w:hAnsi="宋体" w:cs="Times New Roman"/>
                <w:sz w:val="20"/>
                <w:szCs w:val="20"/>
              </w:rPr>
              <w:t>3</w:t>
            </w:r>
            <w:r>
              <w:rPr>
                <w:rFonts w:hint="eastAsia" w:ascii="宋体" w:hAnsi="宋体" w:cs="Times New Roman"/>
                <w:sz w:val="20"/>
                <w:szCs w:val="20"/>
              </w:rPr>
              <w:t>个月随访</w:t>
            </w:r>
            <w:r>
              <w:rPr>
                <w:rFonts w:ascii="宋体" w:hAnsi="宋体" w:cs="Times New Roman"/>
                <w:sz w:val="20"/>
                <w:szCs w:val="20"/>
              </w:rPr>
              <w:t>1</w:t>
            </w:r>
            <w:r>
              <w:rPr>
                <w:rFonts w:hint="eastAsia" w:ascii="宋体" w:hAnsi="宋体" w:cs="Times New Roman"/>
                <w:sz w:val="20"/>
                <w:szCs w:val="20"/>
              </w:rPr>
              <w:t>次；对病情稳定者（危险性</w:t>
            </w:r>
            <w:r>
              <w:rPr>
                <w:rFonts w:ascii="宋体" w:hAnsi="宋体" w:cs="Times New Roman"/>
                <w:sz w:val="20"/>
                <w:szCs w:val="20"/>
              </w:rPr>
              <w:t>0</w:t>
            </w:r>
            <w:r>
              <w:rPr>
                <w:rFonts w:hint="eastAsia" w:ascii="宋体" w:hAnsi="宋体" w:cs="Times New Roman"/>
                <w:sz w:val="20"/>
                <w:szCs w:val="20"/>
              </w:rPr>
              <w:t>级），每</w:t>
            </w:r>
            <w:r>
              <w:rPr>
                <w:rFonts w:ascii="宋体" w:hAnsi="宋体" w:cs="Times New Roman"/>
                <w:sz w:val="20"/>
                <w:szCs w:val="20"/>
              </w:rPr>
              <w:t>3</w:t>
            </w:r>
            <w:r>
              <w:rPr>
                <w:rFonts w:hint="eastAsia" w:ascii="宋体" w:hAnsi="宋体" w:cs="Times New Roman"/>
                <w:sz w:val="20"/>
                <w:szCs w:val="20"/>
              </w:rPr>
              <w:t>个月随访</w:t>
            </w:r>
            <w:r>
              <w:rPr>
                <w:rFonts w:ascii="宋体" w:hAnsi="宋体" w:cs="Times New Roman"/>
                <w:sz w:val="20"/>
                <w:szCs w:val="20"/>
              </w:rPr>
              <w:t>1</w:t>
            </w:r>
            <w:r>
              <w:rPr>
                <w:rFonts w:hint="eastAsia" w:ascii="宋体" w:hAnsi="宋体" w:cs="Times New Roman"/>
                <w:sz w:val="20"/>
                <w:szCs w:val="20"/>
              </w:rPr>
              <w:t>次。签订监护协议，管理情况记入健康档案。</w:t>
            </w:r>
          </w:p>
        </w:tc>
        <w:tc>
          <w:tcPr>
            <w:tcW w:w="1199" w:type="dxa"/>
            <w:tcBorders>
              <w:top w:val="single" w:color="000000" w:sz="8" w:space="0"/>
              <w:left w:val="single" w:color="000000" w:sz="8" w:space="0"/>
              <w:right w:val="single" w:color="000000" w:sz="8" w:space="0"/>
            </w:tcBorders>
            <w:vAlign w:val="center"/>
          </w:tcPr>
          <w:p>
            <w:pPr>
              <w:snapToGrid w:val="0"/>
              <w:jc w:val="center"/>
              <w:rPr>
                <w:rFonts w:ascii="宋体" w:hAnsi="宋体" w:cs="Times New Roman"/>
                <w:sz w:val="20"/>
                <w:szCs w:val="20"/>
              </w:rPr>
            </w:pPr>
          </w:p>
          <w:p>
            <w:pPr>
              <w:snapToGrid w:val="0"/>
              <w:jc w:val="center"/>
              <w:rPr>
                <w:rFonts w:ascii="宋体" w:hAnsi="宋体" w:cs="Times New Roman"/>
                <w:sz w:val="20"/>
                <w:szCs w:val="20"/>
              </w:rPr>
            </w:pPr>
            <w:r>
              <w:rPr>
                <w:rFonts w:hint="eastAsia" w:ascii="宋体" w:hAnsi="宋体" w:cs="Times New Roman"/>
                <w:sz w:val="20"/>
                <w:szCs w:val="20"/>
              </w:rPr>
              <w:t>严重精神障碍患者管理系统</w:t>
            </w:r>
          </w:p>
        </w:tc>
        <w:tc>
          <w:tcPr>
            <w:tcW w:w="3024" w:type="dxa"/>
            <w:tcBorders>
              <w:top w:val="single" w:color="000000" w:sz="8" w:space="0"/>
              <w:left w:val="single" w:color="000000" w:sz="8" w:space="0"/>
              <w:right w:val="single" w:color="000000" w:sz="8" w:space="0"/>
            </w:tcBorders>
            <w:vAlign w:val="center"/>
          </w:tcPr>
          <w:p>
            <w:pPr>
              <w:snapToGrid w:val="0"/>
              <w:rPr>
                <w:rFonts w:ascii="宋体" w:hAnsi="宋体" w:cs="Times New Roman"/>
                <w:sz w:val="20"/>
                <w:szCs w:val="20"/>
              </w:rPr>
            </w:pPr>
          </w:p>
          <w:p>
            <w:pPr>
              <w:snapToGrid w:val="0"/>
              <w:rPr>
                <w:rFonts w:ascii="宋体" w:hAnsi="宋体" w:cs="Times New Roman"/>
                <w:sz w:val="20"/>
                <w:szCs w:val="20"/>
              </w:rPr>
            </w:pPr>
            <w:r>
              <w:rPr>
                <w:rFonts w:hint="eastAsia" w:ascii="宋体" w:hAnsi="宋体" w:cs="Times New Roman"/>
                <w:sz w:val="20"/>
                <w:szCs w:val="20"/>
              </w:rPr>
              <w:t>按照规范管理的严重精神障碍患者人数统计。可以按实际管理严重精神障碍患者人数</w:t>
            </w:r>
            <w:r>
              <w:rPr>
                <w:rFonts w:ascii="宋体" w:hAnsi="宋体" w:cs="Times New Roman"/>
                <w:sz w:val="20"/>
                <w:szCs w:val="20"/>
              </w:rPr>
              <w:t>×</w:t>
            </w:r>
            <w:r>
              <w:rPr>
                <w:rFonts w:hint="eastAsia" w:ascii="宋体" w:hAnsi="宋体" w:cs="Times New Roman"/>
                <w:sz w:val="20"/>
                <w:szCs w:val="20"/>
              </w:rPr>
              <w:t>严重精神障碍患者抽查规范管理率计算。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cs="Times New Roman"/>
                <w:b/>
                <w:bCs/>
                <w:sz w:val="20"/>
                <w:szCs w:val="20"/>
              </w:rPr>
            </w:pPr>
          </w:p>
        </w:tc>
        <w:tc>
          <w:tcPr>
            <w:tcW w:w="1024" w:type="dxa"/>
            <w:vMerge w:val="restart"/>
            <w:tcBorders>
              <w:top w:val="single" w:color="000000" w:sz="8" w:space="0"/>
              <w:left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 xml:space="preserve">2.9 </w:t>
            </w:r>
            <w:r>
              <w:rPr>
                <w:rFonts w:hint="eastAsia" w:ascii="宋体" w:hAnsi="宋体" w:cs="Times New Roman"/>
                <w:sz w:val="20"/>
                <w:szCs w:val="20"/>
              </w:rPr>
              <w:t>中医药健康管理</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2.9.1 65</w:t>
            </w:r>
            <w:r>
              <w:rPr>
                <w:rFonts w:hint="eastAsia" w:ascii="宋体" w:hAnsi="宋体" w:cs="Times New Roman"/>
                <w:sz w:val="20"/>
                <w:szCs w:val="20"/>
              </w:rPr>
              <w:t>岁以上老年人中医药健康管理</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人</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每年</w:t>
            </w:r>
            <w:r>
              <w:rPr>
                <w:rFonts w:ascii="宋体" w:hAnsi="宋体" w:cs="Times New Roman"/>
                <w:sz w:val="20"/>
                <w:szCs w:val="20"/>
              </w:rPr>
              <w:t>1</w:t>
            </w:r>
            <w:r>
              <w:rPr>
                <w:rFonts w:hint="eastAsia" w:ascii="宋体" w:hAnsi="宋体" w:cs="Times New Roman"/>
                <w:sz w:val="20"/>
                <w:szCs w:val="20"/>
              </w:rPr>
              <w:t>次，包括中医体质辨识和中医药保健指导，要求有体质辨识表和辨识结果，发放健康处方，并记入健康档案。</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健康档案系统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按照老年人管理专案中当年填有《老年人中医药健康管理服务记录表》的人数统计。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cs="Times New Roman"/>
                <w:b/>
                <w:bCs/>
                <w:sz w:val="20"/>
                <w:szCs w:val="20"/>
              </w:rPr>
            </w:pPr>
          </w:p>
        </w:tc>
        <w:tc>
          <w:tcPr>
            <w:tcW w:w="1024" w:type="dxa"/>
            <w:vMerge w:val="continue"/>
            <w:tcBorders>
              <w:left w:val="single" w:color="000000" w:sz="8" w:space="0"/>
              <w:right w:val="single" w:color="000000" w:sz="8" w:space="0"/>
            </w:tcBorders>
            <w:vAlign w:val="center"/>
          </w:tcPr>
          <w:p>
            <w:pPr>
              <w:snapToGrid w:val="0"/>
              <w:jc w:val="center"/>
              <w:rPr>
                <w:rFonts w:ascii="宋体" w:hAnsi="宋体" w:cs="Times New Roman"/>
                <w:sz w:val="20"/>
                <w:szCs w:val="20"/>
              </w:rPr>
            </w:pPr>
          </w:p>
        </w:tc>
        <w:tc>
          <w:tcPr>
            <w:tcW w:w="1238" w:type="dxa"/>
            <w:tcBorders>
              <w:top w:val="single" w:color="000000" w:sz="8" w:space="0"/>
              <w:left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2.9.2</w:t>
            </w:r>
            <w:r>
              <w:rPr>
                <w:rFonts w:hint="eastAsia" w:ascii="宋体" w:hAnsi="宋体" w:cs="Times New Roman"/>
                <w:sz w:val="20"/>
                <w:szCs w:val="20"/>
              </w:rPr>
              <w:t>儿童中医药健康管理</w:t>
            </w:r>
          </w:p>
        </w:tc>
        <w:tc>
          <w:tcPr>
            <w:tcW w:w="857" w:type="dxa"/>
            <w:tcBorders>
              <w:top w:val="single" w:color="000000" w:sz="8" w:space="0"/>
              <w:left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人</w:t>
            </w:r>
          </w:p>
        </w:tc>
        <w:tc>
          <w:tcPr>
            <w:tcW w:w="720" w:type="dxa"/>
            <w:tcBorders>
              <w:top w:val="single" w:color="000000" w:sz="8" w:space="0"/>
              <w:left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2</w:t>
            </w:r>
          </w:p>
        </w:tc>
        <w:tc>
          <w:tcPr>
            <w:tcW w:w="894" w:type="dxa"/>
            <w:tcBorders>
              <w:top w:val="single" w:color="000000" w:sz="8" w:space="0"/>
              <w:left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w:t>
            </w:r>
          </w:p>
        </w:tc>
        <w:tc>
          <w:tcPr>
            <w:tcW w:w="4347" w:type="dxa"/>
            <w:tcBorders>
              <w:top w:val="single" w:color="000000" w:sz="8" w:space="0"/>
              <w:left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对</w:t>
            </w:r>
            <w:r>
              <w:rPr>
                <w:rFonts w:ascii="宋体" w:hAnsi="宋体" w:cs="Times New Roman"/>
                <w:sz w:val="20"/>
                <w:szCs w:val="20"/>
              </w:rPr>
              <w:t>6</w:t>
            </w:r>
            <w:r>
              <w:rPr>
                <w:rFonts w:hint="eastAsia" w:ascii="宋体" w:hAnsi="宋体" w:cs="Times New Roman"/>
                <w:sz w:val="20"/>
                <w:szCs w:val="20"/>
              </w:rPr>
              <w:t>、</w:t>
            </w:r>
            <w:r>
              <w:rPr>
                <w:rFonts w:ascii="宋体" w:hAnsi="宋体" w:cs="Times New Roman"/>
                <w:sz w:val="20"/>
                <w:szCs w:val="20"/>
              </w:rPr>
              <w:t>12</w:t>
            </w:r>
            <w:r>
              <w:rPr>
                <w:rFonts w:hint="eastAsia" w:ascii="宋体" w:hAnsi="宋体" w:cs="Times New Roman"/>
                <w:sz w:val="20"/>
                <w:szCs w:val="20"/>
              </w:rPr>
              <w:t>、</w:t>
            </w:r>
            <w:r>
              <w:rPr>
                <w:rFonts w:ascii="宋体" w:hAnsi="宋体" w:cs="Times New Roman"/>
                <w:sz w:val="20"/>
                <w:szCs w:val="20"/>
              </w:rPr>
              <w:t>18</w:t>
            </w:r>
            <w:r>
              <w:rPr>
                <w:rFonts w:hint="eastAsia" w:ascii="宋体" w:hAnsi="宋体" w:cs="Times New Roman"/>
                <w:sz w:val="20"/>
                <w:szCs w:val="20"/>
              </w:rPr>
              <w:t>、</w:t>
            </w:r>
            <w:r>
              <w:rPr>
                <w:rFonts w:ascii="宋体" w:hAnsi="宋体" w:cs="Times New Roman"/>
                <w:sz w:val="20"/>
                <w:szCs w:val="20"/>
              </w:rPr>
              <w:t>24</w:t>
            </w:r>
            <w:r>
              <w:rPr>
                <w:rFonts w:hint="eastAsia" w:ascii="宋体" w:hAnsi="宋体" w:cs="Times New Roman"/>
                <w:sz w:val="20"/>
                <w:szCs w:val="20"/>
              </w:rPr>
              <w:t>、</w:t>
            </w:r>
            <w:r>
              <w:rPr>
                <w:rFonts w:ascii="宋体" w:hAnsi="宋体" w:cs="Times New Roman"/>
                <w:sz w:val="20"/>
                <w:szCs w:val="20"/>
              </w:rPr>
              <w:t>30</w:t>
            </w:r>
            <w:r>
              <w:rPr>
                <w:rFonts w:hint="eastAsia" w:ascii="宋体" w:hAnsi="宋体" w:cs="Times New Roman"/>
                <w:sz w:val="20"/>
                <w:szCs w:val="20"/>
              </w:rPr>
              <w:t>、</w:t>
            </w:r>
            <w:r>
              <w:rPr>
                <w:rFonts w:ascii="宋体" w:hAnsi="宋体" w:cs="Times New Roman"/>
                <w:sz w:val="20"/>
                <w:szCs w:val="20"/>
              </w:rPr>
              <w:t>36</w:t>
            </w:r>
            <w:r>
              <w:rPr>
                <w:rFonts w:hint="eastAsia" w:ascii="宋体" w:hAnsi="宋体" w:cs="Times New Roman"/>
                <w:sz w:val="20"/>
                <w:szCs w:val="20"/>
              </w:rPr>
              <w:t>月龄儿童家长进行儿童中医药保健指导，包括中医饮食起居调养和摩腹、捏脊、穴位按揉方法指导，做好指导记录，发放健康处方，条件具备时录入儿童保健信息系统。</w:t>
            </w:r>
          </w:p>
        </w:tc>
        <w:tc>
          <w:tcPr>
            <w:tcW w:w="1199" w:type="dxa"/>
            <w:tcBorders>
              <w:top w:val="single" w:color="000000" w:sz="8" w:space="0"/>
              <w:left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健康档案系统</w:t>
            </w:r>
          </w:p>
        </w:tc>
        <w:tc>
          <w:tcPr>
            <w:tcW w:w="3024" w:type="dxa"/>
            <w:tcBorders>
              <w:top w:val="single" w:color="000000" w:sz="8" w:space="0"/>
              <w:left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按照儿童健康管理档案（儿童保健册）中当年儿童中医药健康管理服务记录的人数。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0" w:hRule="atLeast"/>
          <w:jc w:val="center"/>
        </w:trPr>
        <w:tc>
          <w:tcPr>
            <w:tcW w:w="1087" w:type="dxa"/>
            <w:vMerge w:val="restart"/>
            <w:tcBorders>
              <w:left w:val="single" w:color="000000" w:sz="8" w:space="0"/>
              <w:right w:val="single" w:color="000000" w:sz="8" w:space="0"/>
            </w:tcBorders>
            <w:vAlign w:val="center"/>
          </w:tcPr>
          <w:p>
            <w:pPr>
              <w:snapToGrid w:val="0"/>
              <w:jc w:val="center"/>
              <w:rPr>
                <w:rFonts w:ascii="宋体" w:hAnsi="宋体" w:cs="Times New Roman"/>
                <w:b/>
                <w:bCs/>
                <w:sz w:val="20"/>
                <w:szCs w:val="20"/>
              </w:rPr>
            </w:pPr>
            <w:r>
              <w:rPr>
                <w:rFonts w:ascii="宋体" w:hAnsi="宋体" w:cs="Times New Roman"/>
                <w:b/>
                <w:bCs/>
                <w:sz w:val="20"/>
                <w:szCs w:val="20"/>
              </w:rPr>
              <w:t>2.</w:t>
            </w:r>
            <w:r>
              <w:rPr>
                <w:rFonts w:hint="eastAsia" w:ascii="宋体" w:hAnsi="宋体" w:cs="Times New Roman"/>
                <w:b/>
                <w:bCs/>
                <w:sz w:val="20"/>
                <w:szCs w:val="20"/>
              </w:rPr>
              <w:t>基本公共卫生</w:t>
            </w:r>
          </w:p>
        </w:tc>
        <w:tc>
          <w:tcPr>
            <w:tcW w:w="1024" w:type="dxa"/>
            <w:tcBorders>
              <w:top w:val="single" w:color="000000" w:sz="8" w:space="0"/>
              <w:left w:val="single" w:color="000000" w:sz="8" w:space="0"/>
              <w:bottom w:val="single" w:color="000000" w:sz="8" w:space="0"/>
              <w:right w:val="single" w:color="000000" w:sz="8" w:space="0"/>
            </w:tcBorders>
            <w:vAlign w:val="center"/>
          </w:tcPr>
          <w:p>
            <w:pPr>
              <w:adjustRightInd w:val="0"/>
              <w:snapToGrid w:val="0"/>
              <w:jc w:val="center"/>
              <w:rPr>
                <w:rFonts w:ascii="宋体" w:hAnsi="宋体" w:cs="Times New Roman"/>
                <w:sz w:val="20"/>
                <w:szCs w:val="20"/>
              </w:rPr>
            </w:pPr>
            <w:r>
              <w:rPr>
                <w:rFonts w:ascii="宋体" w:hAnsi="宋体" w:cs="Times New Roman"/>
                <w:sz w:val="20"/>
                <w:szCs w:val="20"/>
              </w:rPr>
              <w:t>2.10</w:t>
            </w:r>
            <w:r>
              <w:rPr>
                <w:rFonts w:hint="eastAsia" w:ascii="宋体" w:hAnsi="宋体" w:cs="Times New Roman"/>
                <w:sz w:val="20"/>
                <w:szCs w:val="20"/>
              </w:rPr>
              <w:t>传染病和突发公共卫生事件报告处置</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2.10.1</w:t>
            </w:r>
            <w:r>
              <w:rPr>
                <w:rFonts w:hint="eastAsia" w:ascii="宋体" w:hAnsi="宋体" w:cs="Times New Roman"/>
                <w:sz w:val="20"/>
                <w:szCs w:val="20"/>
              </w:rPr>
              <w:t>传染病和突发公共卫生事件报告</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人口数</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0.08</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协助开展传染病疫情和突发公共卫生事件风险排查、收集和提供风险信息；规范开展传染病疫情和突发公共卫生事件信息登记、报告；做好传染病疫情和突发公共卫生事件处理，包括病人救治和管理、流行病学调查和随访、密切接触者管理、疫点处理、应急接种和预防性服药、宣传教育等。</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按上一年度公安人口数据资料辖区内常住人口数计算。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2"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cs="Times New Roman"/>
                <w:b/>
                <w:bCs/>
                <w:sz w:val="20"/>
                <w:szCs w:val="20"/>
              </w:rPr>
            </w:pPr>
          </w:p>
        </w:tc>
        <w:tc>
          <w:tcPr>
            <w:tcW w:w="102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2.11</w:t>
            </w:r>
            <w:r>
              <w:rPr>
                <w:rFonts w:hint="eastAsia" w:ascii="宋体" w:hAnsi="宋体" w:cs="Times New Roman"/>
                <w:sz w:val="20"/>
                <w:szCs w:val="20"/>
              </w:rPr>
              <w:t>健康教育</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2.11.1</w:t>
            </w:r>
            <w:r>
              <w:rPr>
                <w:rFonts w:hint="eastAsia" w:ascii="宋体" w:hAnsi="宋体" w:cs="Times New Roman"/>
                <w:sz w:val="20"/>
                <w:szCs w:val="20"/>
              </w:rPr>
              <w:t>健康教育</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人口数</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0.2</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提供健康教育资料，每个机构每年不少于</w:t>
            </w:r>
            <w:r>
              <w:rPr>
                <w:rFonts w:ascii="宋体" w:hAnsi="宋体" w:cs="Times New Roman"/>
                <w:sz w:val="20"/>
                <w:szCs w:val="20"/>
              </w:rPr>
              <w:t>12</w:t>
            </w:r>
            <w:r>
              <w:rPr>
                <w:rFonts w:hint="eastAsia" w:ascii="宋体" w:hAnsi="宋体" w:cs="Times New Roman"/>
                <w:sz w:val="20"/>
                <w:szCs w:val="20"/>
              </w:rPr>
              <w:t>种印刷资料和</w:t>
            </w:r>
            <w:r>
              <w:rPr>
                <w:rFonts w:ascii="宋体" w:hAnsi="宋体" w:cs="Times New Roman"/>
                <w:sz w:val="20"/>
                <w:szCs w:val="20"/>
              </w:rPr>
              <w:t>6</w:t>
            </w:r>
            <w:r>
              <w:rPr>
                <w:rFonts w:hint="eastAsia" w:ascii="宋体" w:hAnsi="宋体" w:cs="Times New Roman"/>
                <w:sz w:val="20"/>
                <w:szCs w:val="20"/>
              </w:rPr>
              <w:t>种影像资料；设置健康教育宣传栏，每年至少</w:t>
            </w:r>
            <w:r>
              <w:rPr>
                <w:rFonts w:ascii="宋体" w:hAnsi="宋体" w:cs="Times New Roman"/>
                <w:sz w:val="20"/>
                <w:szCs w:val="20"/>
              </w:rPr>
              <w:t>6</w:t>
            </w:r>
            <w:r>
              <w:rPr>
                <w:rFonts w:hint="eastAsia" w:ascii="宋体" w:hAnsi="宋体" w:cs="Times New Roman"/>
                <w:sz w:val="20"/>
                <w:szCs w:val="20"/>
              </w:rPr>
              <w:t>期；开展公众健康咨询服务，每年至少</w:t>
            </w:r>
            <w:r>
              <w:rPr>
                <w:rFonts w:ascii="宋体" w:hAnsi="宋体" w:cs="Times New Roman"/>
                <w:sz w:val="20"/>
                <w:szCs w:val="20"/>
              </w:rPr>
              <w:t>9</w:t>
            </w:r>
            <w:r>
              <w:rPr>
                <w:rFonts w:hint="eastAsia" w:ascii="宋体" w:hAnsi="宋体" w:cs="Times New Roman"/>
                <w:sz w:val="20"/>
                <w:szCs w:val="20"/>
              </w:rPr>
              <w:t>次；举办健康知识讲座，每年至少</w:t>
            </w:r>
            <w:r>
              <w:rPr>
                <w:rFonts w:ascii="宋体" w:hAnsi="宋体" w:cs="Times New Roman"/>
                <w:sz w:val="20"/>
                <w:szCs w:val="20"/>
              </w:rPr>
              <w:t>12</w:t>
            </w:r>
            <w:r>
              <w:rPr>
                <w:rFonts w:hint="eastAsia" w:ascii="宋体" w:hAnsi="宋体" w:cs="Times New Roman"/>
                <w:sz w:val="20"/>
                <w:szCs w:val="20"/>
              </w:rPr>
              <w:t>次；结合门诊、访视等开展个体化健康教育。</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按上一年度公安人口数据资料辖区内常住人口数计算。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cs="Times New Roman"/>
                <w:b/>
                <w:bCs/>
                <w:sz w:val="20"/>
                <w:szCs w:val="20"/>
              </w:rPr>
            </w:pPr>
          </w:p>
        </w:tc>
        <w:tc>
          <w:tcPr>
            <w:tcW w:w="102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hint="eastAsia" w:ascii="宋体" w:hAnsi="宋体" w:cs="Times New Roman"/>
                <w:sz w:val="20"/>
                <w:szCs w:val="20"/>
              </w:rPr>
            </w:pPr>
            <w:r>
              <w:rPr>
                <w:rFonts w:ascii="宋体" w:hAnsi="宋体" w:cs="Times New Roman"/>
                <w:sz w:val="20"/>
                <w:szCs w:val="20"/>
              </w:rPr>
              <w:t>2.12</w:t>
            </w:r>
            <w:r>
              <w:rPr>
                <w:rFonts w:hint="eastAsia" w:ascii="宋体" w:hAnsi="宋体" w:cs="Times New Roman"/>
                <w:sz w:val="20"/>
                <w:szCs w:val="20"/>
              </w:rPr>
              <w:t>卫生监督</w:t>
            </w:r>
          </w:p>
          <w:p>
            <w:pPr>
              <w:snapToGrid w:val="0"/>
              <w:jc w:val="center"/>
              <w:rPr>
                <w:rFonts w:ascii="宋体" w:hAnsi="宋体" w:cs="Times New Roman"/>
                <w:sz w:val="20"/>
                <w:szCs w:val="20"/>
              </w:rPr>
            </w:pPr>
            <w:r>
              <w:rPr>
                <w:rFonts w:hint="eastAsia" w:ascii="宋体" w:hAnsi="宋体" w:cs="Times New Roman"/>
                <w:sz w:val="20"/>
                <w:szCs w:val="20"/>
              </w:rPr>
              <w:t>协管</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2.12.1</w:t>
            </w:r>
            <w:r>
              <w:rPr>
                <w:rFonts w:hint="eastAsia" w:ascii="宋体" w:hAnsi="宋体" w:cs="Times New Roman"/>
                <w:sz w:val="20"/>
                <w:szCs w:val="20"/>
              </w:rPr>
              <w:t>卫生监督协管</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人口数</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0.03</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做好食品安全、职业病、饮用水安全、学校卫生、非法行医等事件信息报告；饮用水卫生、学校卫生、非法行医巡查每季各</w:t>
            </w:r>
            <w:r>
              <w:rPr>
                <w:rFonts w:ascii="宋体" w:hAnsi="宋体" w:cs="Times New Roman"/>
                <w:sz w:val="20"/>
                <w:szCs w:val="20"/>
              </w:rPr>
              <w:t>1</w:t>
            </w:r>
            <w:r>
              <w:rPr>
                <w:rFonts w:hint="eastAsia" w:ascii="宋体" w:hAnsi="宋体" w:cs="Times New Roman"/>
                <w:sz w:val="20"/>
                <w:szCs w:val="20"/>
              </w:rPr>
              <w:t>次。</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按上一年度公安人口数据资料辖区内常住人口数计算。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7"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cs="Times New Roman"/>
                <w:b/>
                <w:bCs/>
                <w:sz w:val="20"/>
                <w:szCs w:val="20"/>
              </w:rPr>
            </w:pPr>
          </w:p>
        </w:tc>
        <w:tc>
          <w:tcPr>
            <w:tcW w:w="1024" w:type="dxa"/>
            <w:vMerge w:val="restart"/>
            <w:tcBorders>
              <w:top w:val="single" w:color="000000" w:sz="8" w:space="0"/>
              <w:left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2.13</w:t>
            </w:r>
            <w:r>
              <w:rPr>
                <w:rFonts w:hint="eastAsia" w:ascii="宋体" w:hAnsi="宋体" w:cs="Times New Roman"/>
                <w:sz w:val="20"/>
                <w:szCs w:val="20"/>
              </w:rPr>
              <w:t>结核病患者健康管理</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2.13.1</w:t>
            </w:r>
            <w:r>
              <w:rPr>
                <w:rFonts w:hint="eastAsia" w:ascii="宋体" w:hAnsi="宋体" w:cs="Times New Roman"/>
                <w:sz w:val="20"/>
                <w:szCs w:val="20"/>
              </w:rPr>
              <w:t>结核病患者筛查转诊</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人次</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1.5</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对有结核病可疑症状的就诊居民，在鉴别诊断的基础上，填写转诊单，转诊到肺结核定点医院进行进一步诊治，并于一周内电话随访，核实与督促其及时就诊。</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肺结核病管理系统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按照当年转诊到位、在定点医院就诊人次数统计。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cs="Times New Roman"/>
                <w:b/>
                <w:bCs/>
                <w:sz w:val="20"/>
                <w:szCs w:val="20"/>
              </w:rPr>
            </w:pPr>
          </w:p>
        </w:tc>
        <w:tc>
          <w:tcPr>
            <w:tcW w:w="1024" w:type="dxa"/>
            <w:vMerge w:val="continue"/>
            <w:tcBorders>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2.13.2</w:t>
            </w:r>
            <w:r>
              <w:rPr>
                <w:rFonts w:hint="eastAsia" w:ascii="宋体" w:hAnsi="宋体" w:cs="Times New Roman"/>
                <w:sz w:val="20"/>
                <w:szCs w:val="20"/>
              </w:rPr>
              <w:t>肺结核患者健康管理</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人</w:t>
            </w:r>
          </w:p>
        </w:tc>
        <w:tc>
          <w:tcPr>
            <w:tcW w:w="72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20</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Times New Roman"/>
                <w:sz w:val="20"/>
                <w:szCs w:val="20"/>
              </w:rPr>
              <w:t>对确诊为肺结核的患者，在接到确诊和管理通知单后</w:t>
            </w:r>
            <w:r>
              <w:rPr>
                <w:rFonts w:ascii="宋体" w:hAnsi="宋体" w:cs="Times New Roman"/>
                <w:sz w:val="20"/>
                <w:szCs w:val="20"/>
              </w:rPr>
              <w:t>72</w:t>
            </w:r>
            <w:r>
              <w:rPr>
                <w:rFonts w:hint="eastAsia" w:ascii="宋体" w:hAnsi="宋体" w:cs="Times New Roman"/>
                <w:sz w:val="20"/>
                <w:szCs w:val="20"/>
              </w:rPr>
              <w:t>小时内进行第一次入户访视，按规范填写记录表单和密切接触者筛查并建立专案。按督导要求进行督导服药、随访追踪、分类干预、健康指导和结案评估。随访情况及时记录，纳入健康档案。</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肺结核病管理系统</w:t>
            </w:r>
          </w:p>
        </w:tc>
        <w:tc>
          <w:tcPr>
            <w:tcW w:w="3024"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宋体"/>
                <w:color w:val="000000"/>
                <w:sz w:val="20"/>
                <w:szCs w:val="20"/>
              </w:rPr>
              <w:t>按辖区内登记的实际人数*管理合格率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jc w:val="center"/>
        </w:trPr>
        <w:tc>
          <w:tcPr>
            <w:tcW w:w="1087" w:type="dxa"/>
            <w:vMerge w:val="restart"/>
            <w:tcBorders>
              <w:left w:val="single" w:color="000000" w:sz="8" w:space="0"/>
              <w:right w:val="single" w:color="000000" w:sz="8" w:space="0"/>
            </w:tcBorders>
            <w:vAlign w:val="center"/>
          </w:tcPr>
          <w:p>
            <w:pPr>
              <w:snapToGrid w:val="0"/>
              <w:jc w:val="center"/>
              <w:rPr>
                <w:rFonts w:ascii="宋体" w:hAnsi="宋体" w:cs="Times New Roman"/>
                <w:b/>
                <w:bCs/>
                <w:sz w:val="20"/>
                <w:szCs w:val="20"/>
              </w:rPr>
            </w:pPr>
            <w:r>
              <w:rPr>
                <w:rFonts w:ascii="宋体" w:hAnsi="宋体" w:cs="Times New Roman"/>
                <w:b/>
                <w:bCs/>
                <w:sz w:val="20"/>
                <w:szCs w:val="20"/>
              </w:rPr>
              <w:t>2.</w:t>
            </w:r>
            <w:r>
              <w:rPr>
                <w:rFonts w:hint="eastAsia" w:ascii="宋体" w:hAnsi="宋体" w:cs="Times New Roman"/>
                <w:b/>
                <w:bCs/>
                <w:sz w:val="20"/>
                <w:szCs w:val="20"/>
              </w:rPr>
              <w:t>基本公共卫生</w:t>
            </w:r>
          </w:p>
        </w:tc>
        <w:tc>
          <w:tcPr>
            <w:tcW w:w="1024" w:type="dxa"/>
            <w:tcBorders>
              <w:left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2.14 药具发放和咨询服务</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2.14.1避孕药具咨询发放</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人口数</w:t>
            </w:r>
          </w:p>
        </w:tc>
        <w:tc>
          <w:tcPr>
            <w:tcW w:w="720" w:type="dxa"/>
            <w:tcBorders>
              <w:left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0.02</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Times New Roman"/>
                <w:sz w:val="20"/>
                <w:szCs w:val="20"/>
              </w:rPr>
            </w:pPr>
            <w:r>
              <w:rPr>
                <w:rFonts w:hint="eastAsia" w:ascii="宋体" w:hAnsi="宋体" w:cs="宋体"/>
                <w:sz w:val="20"/>
                <w:szCs w:val="20"/>
              </w:rPr>
              <w:t>为服务对象发放免费供应的口服避孕药、注射避孕针、避孕套、外用避孕药等。</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w:t>
            </w:r>
          </w:p>
        </w:tc>
        <w:tc>
          <w:tcPr>
            <w:tcW w:w="3024" w:type="dxa"/>
            <w:tcBorders>
              <w:top w:val="single" w:color="000000" w:sz="8" w:space="0"/>
              <w:left w:val="single" w:color="000000" w:sz="8" w:space="0"/>
              <w:bottom w:val="single" w:color="000000" w:sz="8" w:space="0"/>
              <w:right w:val="single" w:color="000000" w:sz="8" w:space="0"/>
            </w:tcBorders>
            <w:vAlign w:val="center"/>
          </w:tcPr>
          <w:p>
            <w:pPr>
              <w:tabs>
                <w:tab w:val="left" w:pos="720"/>
              </w:tabs>
              <w:snapToGrid w:val="0"/>
              <w:rPr>
                <w:rFonts w:ascii="宋体" w:hAnsi="宋体" w:cs="宋体"/>
                <w:sz w:val="20"/>
                <w:szCs w:val="20"/>
              </w:rPr>
            </w:pPr>
            <w:r>
              <w:rPr>
                <w:rFonts w:hint="eastAsia" w:ascii="宋体" w:hAnsi="宋体" w:cs="宋体"/>
                <w:sz w:val="20"/>
                <w:szCs w:val="20"/>
              </w:rPr>
              <w:t>按</w:t>
            </w:r>
            <w:r>
              <w:rPr>
                <w:rFonts w:ascii="宋体" w:hAnsi="宋体" w:cs="宋体"/>
                <w:sz w:val="20"/>
                <w:szCs w:val="20"/>
              </w:rPr>
              <w:t>上一年度公安人口数据资料辖区内常住人口数计算</w:t>
            </w:r>
            <w:r>
              <w:rPr>
                <w:rFonts w:hint="eastAsia" w:ascii="宋体" w:hAnsi="宋体" w:cs="宋体"/>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jc w:val="center"/>
        </w:trPr>
        <w:tc>
          <w:tcPr>
            <w:tcW w:w="1087" w:type="dxa"/>
            <w:vMerge w:val="continue"/>
            <w:tcBorders>
              <w:left w:val="single" w:color="000000" w:sz="8" w:space="0"/>
              <w:right w:val="single" w:color="000000" w:sz="8" w:space="0"/>
            </w:tcBorders>
            <w:vAlign w:val="center"/>
          </w:tcPr>
          <w:p>
            <w:pPr>
              <w:snapToGrid w:val="0"/>
              <w:jc w:val="center"/>
              <w:rPr>
                <w:rFonts w:ascii="宋体" w:hAnsi="宋体" w:cs="Times New Roman"/>
                <w:b/>
                <w:bCs/>
                <w:sz w:val="20"/>
                <w:szCs w:val="20"/>
              </w:rPr>
            </w:pPr>
          </w:p>
        </w:tc>
        <w:tc>
          <w:tcPr>
            <w:tcW w:w="1024" w:type="dxa"/>
            <w:tcBorders>
              <w:left w:val="single" w:color="000000" w:sz="8" w:space="0"/>
              <w:right w:val="single" w:color="000000" w:sz="8" w:space="0"/>
            </w:tcBorders>
            <w:vAlign w:val="center"/>
          </w:tcPr>
          <w:p>
            <w:pPr>
              <w:snapToGrid w:val="0"/>
              <w:jc w:val="center"/>
              <w:rPr>
                <w:rFonts w:hint="eastAsia" w:ascii="宋体" w:hAnsi="宋体" w:cs="Times New Roman"/>
                <w:sz w:val="20"/>
                <w:szCs w:val="20"/>
              </w:rPr>
            </w:pPr>
            <w:r>
              <w:rPr>
                <w:rFonts w:hint="eastAsia" w:ascii="宋体" w:hAnsi="宋体" w:cs="Times New Roman"/>
                <w:sz w:val="20"/>
                <w:szCs w:val="20"/>
              </w:rPr>
              <w:t>2.15健康素养</w:t>
            </w:r>
          </w:p>
          <w:p>
            <w:pPr>
              <w:snapToGrid w:val="0"/>
              <w:jc w:val="center"/>
              <w:rPr>
                <w:rFonts w:ascii="宋体" w:hAnsi="宋体" w:cs="Times New Roman"/>
                <w:sz w:val="20"/>
                <w:szCs w:val="20"/>
              </w:rPr>
            </w:pPr>
            <w:r>
              <w:rPr>
                <w:rFonts w:hint="eastAsia" w:ascii="宋体" w:hAnsi="宋体" w:cs="Times New Roman"/>
                <w:sz w:val="20"/>
                <w:szCs w:val="20"/>
              </w:rPr>
              <w:t>促进</w:t>
            </w:r>
          </w:p>
        </w:tc>
        <w:tc>
          <w:tcPr>
            <w:tcW w:w="123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2.15.1健康素养促进</w:t>
            </w:r>
          </w:p>
        </w:tc>
        <w:tc>
          <w:tcPr>
            <w:tcW w:w="857"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人口数</w:t>
            </w:r>
          </w:p>
        </w:tc>
        <w:tc>
          <w:tcPr>
            <w:tcW w:w="720" w:type="dxa"/>
            <w:tcBorders>
              <w:left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0.02</w:t>
            </w:r>
          </w:p>
        </w:tc>
        <w:tc>
          <w:tcPr>
            <w:tcW w:w="894"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hint="eastAsia" w:ascii="宋体" w:hAnsi="宋体" w:cs="Times New Roman"/>
                <w:sz w:val="20"/>
                <w:szCs w:val="20"/>
              </w:rPr>
              <w:t>—</w:t>
            </w:r>
          </w:p>
        </w:tc>
        <w:tc>
          <w:tcPr>
            <w:tcW w:w="4347" w:type="dxa"/>
            <w:tcBorders>
              <w:top w:val="single" w:color="000000" w:sz="8" w:space="0"/>
              <w:left w:val="single" w:color="000000" w:sz="8" w:space="0"/>
              <w:bottom w:val="single" w:color="000000" w:sz="8" w:space="0"/>
              <w:right w:val="single" w:color="000000" w:sz="8" w:space="0"/>
            </w:tcBorders>
            <w:vAlign w:val="center"/>
          </w:tcPr>
          <w:p>
            <w:pPr>
              <w:snapToGrid w:val="0"/>
              <w:rPr>
                <w:rFonts w:ascii="宋体" w:hAnsi="宋体" w:cs="宋体"/>
                <w:sz w:val="20"/>
                <w:szCs w:val="20"/>
              </w:rPr>
            </w:pPr>
            <w:r>
              <w:rPr>
                <w:rFonts w:hint="eastAsia" w:ascii="宋体" w:hAnsi="宋体" w:cs="宋体"/>
                <w:sz w:val="20"/>
                <w:szCs w:val="20"/>
              </w:rPr>
              <w:t>1.健康促进县（区）建设；2.健康科普；3.健康促进医院和戒烟门诊建设；4.健康素养和烟草流行监测；5.12320热线咨询服务；6.重点疾病、重点领域和重点人群的健康教育。</w:t>
            </w:r>
          </w:p>
        </w:tc>
        <w:tc>
          <w:tcPr>
            <w:tcW w:w="1199"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宋体" w:hAnsi="宋体" w:cs="Times New Roman"/>
                <w:sz w:val="20"/>
                <w:szCs w:val="20"/>
              </w:rPr>
            </w:pPr>
            <w:r>
              <w:rPr>
                <w:rFonts w:ascii="宋体" w:hAnsi="宋体" w:cs="Times New Roman"/>
                <w:sz w:val="20"/>
                <w:szCs w:val="20"/>
              </w:rPr>
              <w:t>—</w:t>
            </w:r>
          </w:p>
        </w:tc>
        <w:tc>
          <w:tcPr>
            <w:tcW w:w="3024" w:type="dxa"/>
            <w:tcBorders>
              <w:top w:val="single" w:color="000000" w:sz="8" w:space="0"/>
              <w:left w:val="single" w:color="000000" w:sz="8" w:space="0"/>
              <w:bottom w:val="single" w:color="000000" w:sz="8" w:space="0"/>
              <w:right w:val="single" w:color="000000" w:sz="8" w:space="0"/>
            </w:tcBorders>
            <w:vAlign w:val="center"/>
          </w:tcPr>
          <w:p>
            <w:pPr>
              <w:tabs>
                <w:tab w:val="left" w:pos="720"/>
              </w:tabs>
              <w:snapToGrid w:val="0"/>
              <w:rPr>
                <w:rFonts w:ascii="宋体" w:hAnsi="宋体" w:cs="宋体"/>
                <w:sz w:val="20"/>
                <w:szCs w:val="20"/>
              </w:rPr>
            </w:pPr>
            <w:r>
              <w:rPr>
                <w:rFonts w:hint="eastAsia" w:ascii="宋体" w:hAnsi="宋体" w:cs="宋体"/>
                <w:sz w:val="20"/>
                <w:szCs w:val="20"/>
              </w:rPr>
              <w:t>按</w:t>
            </w:r>
            <w:r>
              <w:rPr>
                <w:rFonts w:ascii="宋体" w:hAnsi="宋体" w:cs="宋体"/>
                <w:sz w:val="20"/>
                <w:szCs w:val="20"/>
              </w:rPr>
              <w:t>上一年度公安人口数据资料辖区内常住人口数计算</w:t>
            </w:r>
            <w:r>
              <w:rPr>
                <w:rFonts w:hint="eastAsia" w:ascii="宋体" w:hAnsi="宋体" w:cs="宋体"/>
                <w:sz w:val="20"/>
                <w:szCs w:val="20"/>
              </w:rPr>
              <w:t>。</w:t>
            </w:r>
          </w:p>
        </w:tc>
      </w:tr>
    </w:tbl>
    <w:p>
      <w:pPr>
        <w:spacing w:line="340" w:lineRule="exact"/>
        <w:jc w:val="left"/>
        <w:rPr>
          <w:rFonts w:hint="eastAsia" w:ascii="Times New Roman" w:hAnsi="Times New Roman" w:cs="Times New Roman"/>
          <w:sz w:val="20"/>
          <w:szCs w:val="20"/>
        </w:rPr>
      </w:pPr>
    </w:p>
    <w:p>
      <w:pPr>
        <w:spacing w:line="340" w:lineRule="exact"/>
        <w:ind w:left="500" w:hanging="500" w:hangingChars="250"/>
        <w:jc w:val="left"/>
        <w:rPr>
          <w:rFonts w:ascii="Times New Roman" w:hAnsi="Times New Roman" w:cs="Times New Roman"/>
          <w:sz w:val="20"/>
          <w:szCs w:val="20"/>
        </w:rPr>
      </w:pPr>
      <w:r>
        <w:rPr>
          <w:rFonts w:ascii="Times New Roman" w:hAnsi="Times New Roman" w:cs="Times New Roman"/>
          <w:sz w:val="20"/>
          <w:szCs w:val="20"/>
        </w:rPr>
        <w:t>注：1.标化工作当量：</w:t>
      </w:r>
      <w:r>
        <w:rPr>
          <w:rFonts w:hint="eastAsia" w:ascii="Times New Roman" w:hAnsi="Times New Roman" w:cs="Times New Roman"/>
          <w:sz w:val="20"/>
          <w:szCs w:val="20"/>
        </w:rPr>
        <w:t>指</w:t>
      </w:r>
      <w:r>
        <w:rPr>
          <w:rFonts w:ascii="Times New Roman" w:hAnsi="Times New Roman" w:cs="Times New Roman"/>
          <w:sz w:val="20"/>
          <w:szCs w:val="20"/>
        </w:rPr>
        <w:t>以1个人次普通门诊的工作量（15分钟）为1个标准当量值，在此基础上根据每个服务项目的服务标准、人力成本、资源消耗、风险和难度等因素，确定各服务项目的标化工作当量。</w:t>
      </w:r>
    </w:p>
    <w:p>
      <w:pPr>
        <w:spacing w:line="340" w:lineRule="exact"/>
        <w:ind w:firstLine="364" w:firstLineChars="182"/>
        <w:jc w:val="left"/>
        <w:rPr>
          <w:rFonts w:hint="eastAsia" w:ascii="Times New Roman" w:hAnsi="Times New Roman" w:cs="Times New Roman"/>
          <w:sz w:val="20"/>
          <w:szCs w:val="20"/>
        </w:rPr>
      </w:pPr>
      <w:r>
        <w:rPr>
          <w:rFonts w:ascii="Times New Roman" w:hAnsi="Times New Roman" w:cs="Times New Roman"/>
          <w:sz w:val="20"/>
          <w:szCs w:val="20"/>
        </w:rPr>
        <w:t>2</w:t>
      </w:r>
      <w:r>
        <w:rPr>
          <w:rFonts w:hint="eastAsia" w:ascii="Times New Roman" w:hAnsi="Times New Roman" w:cs="Times New Roman"/>
          <w:sz w:val="20"/>
          <w:szCs w:val="20"/>
        </w:rPr>
        <w:t>.</w:t>
      </w:r>
      <w:r>
        <w:rPr>
          <w:rFonts w:ascii="Times New Roman" w:hAnsi="Times New Roman" w:cs="Times New Roman"/>
          <w:sz w:val="20"/>
          <w:szCs w:val="20"/>
        </w:rPr>
        <w:t>调整后标化工作当量：</w:t>
      </w:r>
      <w:r>
        <w:rPr>
          <w:rFonts w:hint="eastAsia" w:ascii="Times New Roman" w:hAnsi="Times New Roman" w:cs="Times New Roman"/>
          <w:sz w:val="20"/>
          <w:szCs w:val="20"/>
        </w:rPr>
        <w:t>指对纳入购买范围的</w:t>
      </w:r>
      <w:r>
        <w:rPr>
          <w:rFonts w:ascii="Times New Roman" w:hAnsi="Times New Roman" w:cs="Times New Roman"/>
          <w:sz w:val="20"/>
          <w:szCs w:val="20"/>
        </w:rPr>
        <w:t>基本医疗服务项目</w:t>
      </w:r>
      <w:r>
        <w:rPr>
          <w:rFonts w:hint="eastAsia" w:ascii="Times New Roman" w:hAnsi="Times New Roman" w:cs="Times New Roman"/>
          <w:sz w:val="20"/>
          <w:szCs w:val="20"/>
        </w:rPr>
        <w:t>，在标化工作当量基础上结合收费价格补偿情况进行调整后的折算当量。</w:t>
      </w:r>
    </w:p>
    <w:p>
      <w:pPr>
        <w:spacing w:after="163" w:afterLines="50" w:line="240" w:lineRule="exact"/>
        <w:ind w:firstLine="400"/>
        <w:jc w:val="left"/>
        <w:rPr>
          <w:rFonts w:hint="eastAsia" w:ascii="Times New Roman" w:hAnsi="Times New Roman" w:cs="Times New Roman"/>
          <w:sz w:val="20"/>
          <w:szCs w:val="20"/>
        </w:rPr>
      </w:pPr>
    </w:p>
    <w:p>
      <w:pPr>
        <w:spacing w:line="560" w:lineRule="exact"/>
        <w:jc w:val="left"/>
        <w:rPr>
          <w:rFonts w:ascii="Times New Roman" w:hAnsi="Times New Roman" w:eastAsia="仿宋_GB2312" w:cs="Times New Roman"/>
          <w:sz w:val="32"/>
          <w:szCs w:val="32"/>
        </w:rPr>
        <w:sectPr>
          <w:pgSz w:w="16838" w:h="11906" w:orient="landscape"/>
          <w:pgMar w:top="1418" w:right="1418" w:bottom="1418" w:left="1418" w:header="851" w:footer="1191" w:gutter="0"/>
          <w:cols w:space="720" w:num="1"/>
          <w:docGrid w:type="linesAndChars" w:linePitch="327"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D87531"/>
    <w:rsid w:val="4FD8753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Calibri"/>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市计生委</Company>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2018-12-05T08:06:00Z</dcterms:created>
  <dc:creator>金理</dc:creator>
  <cp:lastModifiedBy>金理</cp:lastModifiedBy>
  <dcterms:modified xsi:type="dcterms:W3CDTF">2018-12-05T08:08:57Z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