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Times New Roman" w:eastAsia="黑体" w:cs="Times New Roman"/>
          <w:sz w:val="32"/>
          <w:szCs w:val="32"/>
        </w:rPr>
      </w:pPr>
      <w:r>
        <w:rPr>
          <w:rFonts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sz w:val="32"/>
          <w:szCs w:val="32"/>
        </w:rPr>
        <w:t>3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金华市区</w:t>
      </w: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基层医疗卫生机构补偿机制改革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绩效评价关键参考指标体系</w:t>
      </w:r>
    </w:p>
    <w:p>
      <w:pPr>
        <w:widowControl/>
        <w:spacing w:line="240" w:lineRule="exact"/>
        <w:jc w:val="left"/>
        <w:rPr>
          <w:rFonts w:ascii="Times New Roman" w:hAnsi="Times New Roman" w:eastAsia="黑体" w:cs="Times New Roman"/>
          <w:sz w:val="20"/>
          <w:szCs w:val="20"/>
        </w:rPr>
      </w:pPr>
    </w:p>
    <w:tbl>
      <w:tblPr>
        <w:tblStyle w:val="7"/>
        <w:tblW w:w="14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57"/>
        <w:gridCol w:w="2210"/>
        <w:gridCol w:w="1057"/>
        <w:gridCol w:w="4320"/>
        <w:gridCol w:w="1725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sz w:val="20"/>
                <w:szCs w:val="20"/>
              </w:rPr>
              <w:t>一级指标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sz w:val="20"/>
                <w:szCs w:val="20"/>
              </w:rPr>
              <w:t>二级指标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sz w:val="20"/>
                <w:szCs w:val="20"/>
              </w:rPr>
              <w:t>三级指标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sz w:val="20"/>
                <w:szCs w:val="20"/>
              </w:rPr>
              <w:t>权重系数（参考）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sz w:val="20"/>
                <w:szCs w:val="20"/>
              </w:rPr>
              <w:t>指标解释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sz w:val="20"/>
                <w:szCs w:val="20"/>
              </w:rPr>
              <w:t>参考目标值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Times New Roman"/>
                <w:b/>
                <w:bCs/>
                <w:sz w:val="20"/>
                <w:szCs w:val="20"/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服务质量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(50%)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医疗服务（40%）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门诊抗生素处方比例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抽查处方中含抗生素的处方张数/抽查处方总数×100%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≤30%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医院管理系统，并抽查核实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门诊静脉输液处方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比例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抽查处方中含静脉输液的处方张数/抽查处方总数×100%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≤30%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医院管理系统，并抽查核实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门急诊次均费用增幅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门急诊总费用/同期门急诊人次，与上一年同比</w:t>
            </w:r>
          </w:p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（慢性病连续处方另计）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≤5%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医院管理系统或医疗卫生机构绩效管理系统，并抽查核实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住院次均费用增幅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出院患者总费用/同期出院人次，与上一年同比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≤5%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医院管理系统或医疗卫生机构绩效管理系统，并抽查核实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中药饮片帖均费用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中药饮片总费用/同期中药饮片处方总贴数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≤30元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医院管理系统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药占比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药品收入(不含中药饮片)/同期医疗业务总收入×100%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≤60%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医院管理系统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人次人头比例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年度内总门诊人次数/年度内总门诊人头数×100%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根据机构所处地域、规模、资源及往年情况等，分类确定指标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社保部门数据、医疗卫生机构绩效管理系统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公共卫生服务（60%）</w:t>
            </w:r>
          </w:p>
        </w:tc>
        <w:tc>
          <w:tcPr>
            <w:tcW w:w="93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按照当年《浙江省基本公共卫生服务项目绩效考核评分细则》执行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健康档案系统，并抽查核实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服务效率（30%）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服务效率（100%）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小病进社区比例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乡镇卫生院/社区卫生服务中心（含一体化管理的村卫生室/社区卫生服务站）年诊疗人次/（常住人口×</w:t>
            </w:r>
            <w:r>
              <w:rPr>
                <w:rFonts w:hint="eastAsia" w:ascii="宋体" w:hAnsi="宋体" w:cs="宋体"/>
                <w:sz w:val="20"/>
                <w:szCs w:val="20"/>
              </w:rPr>
              <w:t>平均每人年均诊疗人次</w:t>
            </w:r>
            <w:r>
              <w:rPr>
                <w:rFonts w:ascii="宋体" w:hAnsi="宋体" w:cs="宋体"/>
                <w:sz w:val="20"/>
                <w:szCs w:val="20"/>
              </w:rPr>
              <w:t>）×100%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与同类机构平均数及本机构上年情况比较</w:t>
            </w:r>
          </w:p>
        </w:tc>
        <w:tc>
          <w:tcPr>
            <w:tcW w:w="2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医疗卫生机构绩效管理系统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每执业（助理）医师门急诊人次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门急诊人次/同期在岗执业（助理）医师总数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每执业（助理）医师住院床日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出院患者占用总床日数/同期在岗执业（助理）医师总数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人均年度基本医疗工作当量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单位年度基本医疗总当量/财政补偿总人数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人均年度基本公共卫生工作当量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40%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单位年度基本公共卫生总当量/财政补偿总人数</w:t>
            </w: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满意度（20%）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满意度（100%）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服务对象综合满意率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100%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调查对象中回答满意的题数/调查对象总答题数×100%（服务对象满意=安全性＋经济性＋舒适性＋方便性＋有效性）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≥85%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问卷调查</w:t>
            </w:r>
          </w:p>
        </w:tc>
      </w:tr>
    </w:tbl>
    <w:p>
      <w:pPr>
        <w:spacing w:line="540" w:lineRule="exac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1418" w:bottom="1418" w:left="141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cs="宋体"/>
        <w:sz w:val="28"/>
        <w:szCs w:val="28"/>
      </w:rPr>
      <w:t>—</w:t>
    </w:r>
    <w:r>
      <w:rPr>
        <w:rStyle w:val="6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19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</w:t>
    </w:r>
    <w:r>
      <w:rPr>
        <w:rStyle w:val="6"/>
        <w:rFonts w:cs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250E0"/>
    <w:rsid w:val="099250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 w:cs="Times New Roman"/>
      <w:sz w:val="24"/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20"/>
    </w:rPr>
  </w:style>
  <w:style w:type="paragraph" w:customStyle="1" w:styleId="5">
    <w:name w:val="Char"/>
    <w:basedOn w:val="1"/>
    <w:link w:val="4"/>
    <w:qFormat/>
    <w:uiPriority w:val="0"/>
    <w:rPr>
      <w:rFonts w:ascii="Tahoma" w:hAnsi="Tahoma" w:cs="Times New Roman"/>
      <w:sz w:val="24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市计生委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2018-12-05T08:10:00Z</dcterms:created>
  <dc:creator>金理</dc:creator>
  <cp:lastModifiedBy>金理</cp:lastModifiedBy>
  <dcterms:modified xsi:type="dcterms:W3CDTF">2018-12-05T08:10:22Z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